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A-4425/2017 vom 6. November 2017</w:t>
      </w:r>
    </w:p>
    <w:p>
      <w:r>
        <w:t>Bundesverwaltungsgericht, 2017-11-06, DE</w:t>
      </w:r>
    </w:p>
    <w:p>
      <w:r>
        <w:rPr>
          <w:b/>
        </w:rPr>
        <w:t xml:space="preserve">Quelle: </w:t>
      </w:r>
      <w:r>
        <w:t>https://mcp.opencaselaw.ch/entscheid/bvger_A-4425_2017</w:t>
      </w:r>
    </w:p>
    <w:p>
      <w:r>
        <w:t>FR: TAF A-4425/2017 du 6 novembre 2017</w:t>
      </w:r>
    </w:p>
    <w:p>
      <w:r>
        <w:t>IT: TAF A-4425/2017 del 6 novembre 2017</w:t>
      </w:r>
    </w:p>
    <w:p>
      <w:pPr>
        <w:pStyle w:val="Heading2"/>
      </w:pPr>
      <w:r>
        <w:t>Regeste</w:t>
      </w:r>
    </w:p>
    <w:p>
      <w:r>
        <w:t>Ausstand</w:t>
      </w:r>
    </w:p>
    <w:p>
      <w:pPr>
        <w:pStyle w:val="Heading2"/>
      </w:pPr>
      <w:r>
        <w:t>Erwägungen</w:t>
      </w:r>
    </w:p>
    <w:p>
      <w:r>
        <w:rPr>
          <w:b/>
        </w:rPr>
        <w:t>E. 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Die von der Beschwerdeführerin angefochtene Verfügung betreffend Fluglärmentschädigung/Verfahrenskosten stützt sich auf das Bundesgesetz über die Enteignung vom 20. Juni 1930 (EntG, SR 711) sowie auf Art. 54 Abs. 1 der Verordnung über das Verfahren vor den eidgenössischen Schätzungskommissionen vom 13. Februar 2013 (SR 711.1). Demnach handelt es sich um eine Verfügung i.S.v. Art. 5 VwVG. Als Vorinstanz hat eine eidgenössische Kommission i.S.v. Art. 33 Bst. f VGG verfügt. Da zudem kein Ausnahmegrund vorliegt, ist das Bundesverwaltungsgericht zur Beurteilung der Beschwerde im Verfahren A-3924/2017 voraussichtlich zuständig. Entsprechendes gilt somit für den Entscheid über das vorliegende Ausstandsbegehren (André Moser/Michael Beusch/Lorenz Kneubühler, Prozessieren vor dem Bundesverwaltungsgericht, 2. Aufl. 2013, Rz. 3.72; vgl. auch BVGE 2007/4 E. 1.1). Nach Art. 38 VGG gelten die Bestimmungen des Bundesgesetzes über das Bundesgericht vom 17. Juni 2005 (Bundesgerichtsgesetzes, BGG, SR 173.110) über den Ausstand im Verfahren vor dem Bundesverwaltungsgericht sinngemäss. Das Bundesverwaltungsgericht entscheidet über Ausstandsbegehren grundsätzlich und auch im vorliegenden Verfahren in der Besetzung von drei Richterinnen oder Richtern (Moser/Beusch/Kneubühler, a.a.O., Rz. 3.72). Nach dem Gesagten ist auf das form- und fristgerecht eingereichte Ausstandsbegehren vom 8. August 2017 einzutreten. Soweit das VGG nichts anderes bestimmt, richtet sich das Verfahren nach dem VwVG (Art. 37 VGG).</w:t>
      </w:r>
    </w:p>
    <w:p>
      <w:r>
        <w:rPr>
          <w:b/>
        </w:rPr>
        <w:t>E. 2.1</w:t>
      </w:r>
    </w:p>
    <w:p>
      <w:r>
        <w:t>Im vorliegenden Fall begründet die Beschwerdeführerin die Ablehnung des Richters Maurizio Greppi sowie der Richterin Claudia Pasqualetto Péquignot (nachfolgend: Gerichtspersonen) im Wesentlichen damit, dass sie bereits bei zwei weiteren Beschwerden Teil des Spruchkörpers seien und aufgrund ihrer Tätigkeit für die AD ESchK und der in dieser Funktion erlebten "Vorgeschichte" betreffend die Abgeltungsmodalitäten der Flughafenfälle vorbefasst und befangen seien. Es seien im Zusammenhang mit der Erarbeitung einer diesbezüglichen Weisung gegenüber den Amtsträgern der ESchK Kreis 10 Zusicherungen für einen bestimmten Honoraransatz gemacht worden. Die Beschwerdeführerin erachtet es deshalb als offenkundig, dass die beiden Gerichtspersonen der Streitsache gegenüber voreingenommen seien.</w:t>
      </w:r>
    </w:p>
    <w:p>
      <w:r>
        <w:rPr>
          <w:b/>
        </w:rPr>
        <w:t>E. 2.2</w:t>
      </w:r>
    </w:p>
    <w:p>
      <w:r>
        <w:t>Die beiden Gerichtspersonen führen aus, es seien keinerlei Zusicherungen für bestimmte Stundenansätze gemacht worden. Vielmehr handle es sich bei den Weisungen um einen Entwurf, der von der Beschwerdeführerin in der vorgelegten Fassung verworfen worden sei. Im Übrigen sei es aufgrund der Aufgabe des Bundesverwaltungsgerichts als Aufsichtsbehörde über die ESchK systembedingt, dass die Mitglieder der Aufsichtsdelegation im Rahmen ihrer richterlichen Tätigkeit bei Beschwerden gegen die ESchK Urteile fällen würden. Der Anschein einer Vorbefassung sei aus diesem Grund zu verneinen.</w:t>
      </w:r>
    </w:p>
    <w:p>
      <w:r>
        <w:rPr>
          <w:b/>
        </w:rPr>
        <w:t>E. 2.3.1</w:t>
      </w:r>
    </w:p>
    <w:p>
      <w:r>
        <w:t>Jede Person hat nach Art. 30 Abs. 1 der Bundesverfassung der Schweizerischen Eidgenossenschaft vom 18. April 1999 (BV, SR 101) und Art. 6 Ziff. 1 der Konvention zum Schutze der Menschenrechte und Grundfreiheiten vom 4. November 1959 (EMRK, SR 0.101)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w:t>
      </w:r>
    </w:p>
    <w:p>
      <w:r>
        <w:rPr>
          <w:b/>
        </w:rPr>
        <w:t>E. 2.3.2</w:t>
      </w:r>
    </w:p>
    <w:p>
      <w:r>
        <w:t>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(BGE 139 I 121 E. 5.1, BGE 138 I 1 E. 2.2, BGE 136 I 207 E. 3.1 je mit Hinweisen; Urteil des Bundesgerichts 2C_1124/2013 vom 1. Mai 2014 E. 2.2; Alfred Kölz/Isabelle Häner/Martin Bertschi, Verwaltungsverfahren und Verwaltungsrechtspflege des Bundes, 3. Aufl., Zürich 2013, Rz. 423 ff.).</w:t>
      </w:r>
    </w:p>
    <w:p>
      <w:r>
        <w:rPr>
          <w:b/>
        </w:rPr>
        <w:t>E. 2.3.3</w:t>
      </w:r>
    </w:p>
    <w:p>
      <w:r>
        <w:t>Mit der Bestimmung von Art. 34 Abs. 1 Bst. e BGG enthält das Gesetz nach einer nicht abschliessenden Nennung von Ausstandsgründen einen Auffangtatbestand. Dieser sieht vor, dass Gerichtspersonen u.a. "aus anderen Gründen" in den Ausstand treten. Von dieser Formulierung werden sämtliche weiteren - vom Gesetz nicht ausdrücklich aufgeführten - Umstände erfasst, welche eine Gerichtsperson - beispielsweise aufgrund einer Befassung mit der Materie oder in Wahrnehmung einer Aufgabe ausserhalb ihrer gerichtlichen Tätigkeit - als befangen erscheinen lassen und die Gefahr der Voreingenommenheit nach sich ziehen. Derartige Umstände können sodann auch in einem bestimmten Verhalten der betreffenden Gerichtsperson oder in gewissen äusseren Gegebenheiten funktioneller oder organisatorischer Natur begründet sein. Auch hier gilt jedoch der Grundsatz, dass eine Vorbefassung mit einer Sache die Garantie der richterlichen Unabhängigkeit nicht zwingend in Frage stellt (Urteile des Bundesgerichts 8F_3/2008 vom 20. August 2008 und 2C_171/2007 vom 19. Oktober 2007 E. 5.1; Isabelle Häner, Art. 34, in: Marcel Alexander Niggli/Peter Uebersax/Hans Wiprächtiger [Hrsg.], Bundesgerichtsgesetz, Basler Kommentar, 2. Aufl., Basel 2011, Rz. 16 ff. [nachfolgend : BSK]; Regina Kiener, Richterliche Unabhängigkeit, Bern 2001, S. 138 ff.).</w:t>
      </w:r>
    </w:p>
    <w:p>
      <w:r>
        <w:rPr>
          <w:b/>
        </w:rPr>
        <w:t>E. 2.3.4</w:t>
      </w:r>
    </w:p>
    <w:p>
      <w:r>
        <w:t>Eine gewisse Besorgnis der Voreingenommenheit und damit Misstrauen in das Gericht kann bei den Parteien auch dann entstehen, wenn einzelne Gerichtspersonen in einem früheren Verfahren mit der konkreten Streitsache schon einmal in gleicher Funktion befasst waren. In einem solchen Fall der Vorbefassung stellt sich grundsätzlich die Frage, ob sich eine Gerichtsperson durch ihre Mitwirkung an früheren Entscheidungen in einzelnen Punkten bereits in einem Mass festgelegt hat, das sie nicht mehr als unvoreingenommen und dementsprechend das Verfahren nicht mehr als offen erscheinen lässt. Nach Art. 34 Abs. 2 BGG stellt jedoch die Mitwirkung an einem früheren Verfahren für sich allein kein Ausstandsgrund dar. Es wird angenommen und erwartet, dass die Gerichtspersonen die Streitsache objektiv und unparteiisch behandeln und so die erforderliche Offenheit des Verfahrens gewährleistet ist (BGE 142 III 732 E. 4.2.2 mit weiteren Hinweisen; Urteil des Bundesgerichts 8F_3/2008 vom 20. August 2008; Kölz/Häner/Bertschi, Rz. 1099).</w:t>
      </w:r>
    </w:p>
    <w:p>
      <w:r>
        <w:rPr>
          <w:b/>
        </w:rPr>
        <w:t>E. 2.4</w:t>
      </w:r>
    </w:p>
    <w:p>
      <w:r>
        <w:t>Wie bereits der Sachverhaltsdarstellung zu entnehmen ist, wurden bei drei Beschwerden der Beschwerdeführerin gegen Rechnungsverfügungen der ESchK Kreis 10 ein Spruchkörper zugeteilt, der durch dieselben Personen - u.a. auch die vorliegend zurückgewiesenen Gerichtspersonen - gebildet wird. Am Bundesverwaltungsgericht wird der Spruchkörper durch einen Zufallsgenerator bestimmt. Diese Praxis stützt sich auf Art. 24 VGG i.V.m. Art. 31 Abs. 2 und 3 sowie Art. 32 Abs. 1 des Geschäftsreglements für das Bundesverwaltungsgericht vom 17. April 2008 (VGR, SR 173.320.1) sowie Art. 16 Abs. 1 und 2 des Abteilungsreglements der Abteilung I des Bundesverwaltungsgerichts vom 13. Juli 2017. Aus Gründen der Effizienz sowie der Koordination der Rechtsprechung werden gleich oder ähnlich gelagerte Verfahren demselben Spruchkörper zugewiesen. Solange die Verfahren hängig sind, liegt sodann - wie vorliegend gegeben - keine Befangenheit aufgrund einer Vorbefassung zu einem früheren Zeitpunkt vor: Die richterliche Meinungsbildung ist noch nicht abgeschlossen und ein definitives Urteil steht noch aus, weshalb die richterliche Unabhängigkeit nicht in Frage gestellt ist. Ohnehin wäre - wie bereits erwähnt - eine Mitwirkung in einem früheren Verfahren an sich noch kein Ausstandsgrund (Kiener, a.a.O., S. 142 f.).</w:t>
      </w:r>
    </w:p>
    <w:p>
      <w:r>
        <w:rPr>
          <w:b/>
        </w:rPr>
        <w:t>E. 2.5</w:t>
      </w:r>
    </w:p>
    <w:p>
      <w:r>
        <w:t>Im Weiteren leitet die Beschwerdeführerin aus dem Umstand, dass der von der AD ESchK vorgelegte Weisungsentwurf von ihr zurückgewiesen wurde, offenbar eine Vorbefassung resp. eine negative Voreingenommenheit der beiden Gerichtspersonen ab. Ausserdem macht sie geltend, die Tatsache, dass der Präsident der ESchK Kreis 10 einen Honoraransatz von Fr. 200.-- zur Anwendung bringe, spreche dafür, dass die AD ESchK - vertreten durch die beiden Gerichtspersonen - gegenüber den Mitgliedern der ESchK Kreis 10 diesbezügliche Zusicherungen oder Versprechen gemacht habe.</w:t>
      </w:r>
    </w:p>
    <w:p>
      <w:r>
        <w:rPr>
          <w:b/>
        </w:rPr>
        <w:t>E. 2.5.1</w:t>
      </w:r>
    </w:p>
    <w:p>
      <w:r>
        <w:t>Tatsächlich nehmen die beiden vom Ausstandsbegehren betroffenen Gerichtspersonen am Bundesverwaltungsgericht eine doppelte Funktion wahr: Einerseits wirken sie als Richter bzw. als Richterin u.a. auch an Entscheiden in Enteignungssachen mit, andererseits sind sie als Präsidentin bzw. Vizepräsident der AD ESchK tätig. In letzterer Funktion haben die beiden betroffenen Gerichtspersonen denn auch federführend an dem durch die AD ESchK u.a. auch der Beschwerdeführerin vorgelegten Entwurf für eine Weisung betreffend die Abrechnung der Flughafenfälle mitgearbeitet, wobei ein Honoraransatz von Fr. 200.-- pro Stunde für die Mitglieder der ESchK Kreis 10 vorgeschlagen wurde. Aufgrund dieser Doppelfunktion macht die Beschwerdeführerin eine Befangenheit aus "anderen Gründen" gemäss Art. 34 Abs. 1 Bst. e BGG geltend. Es ist zwar korrekt, dass sich die beiden Gerichtspersonen mit der Materie der Abgeltung für die Bearbeitung der Flughafenfälle befasst und Überlegungen für eine Lösung der in diesem Zusammenhang anstehenden Probleme bei der ESchK Kreis 10 angestellt haben. Eine solche Vorbefassung muss indessen nicht generell eine Verfassungswidrigkeit resp. eine Befangenheit bedeuten. Ausschlaggebendes Kriterium ist dabei nach der Rechtsprechung des Bundesgerichts, ob das Verfahren trotz Vorbefassung in Bezug auf den konkreten Sachverhalt und die konkret zu entscheidenden Sachfragen als offen und nicht vorbestimmt erscheint (vgl. analog BGE 141 IV 34 E. 5.2, 133 I 89 E. 3.2 f., BGE 114 Ia 50 E. 3d). Mit anderen Worten ist entscheidend, ob die Vorbefassung den Eindruck erweckt, die Gerichtspersonen könnten sich von den bereits gemachten Feststellungen und geäusserten Wertungen resp. von ihrer Meinungsbildung nicht mehr lösen und würden die Sache deshalb nicht mehr mit der nötigen Distanz und Objektivität beurteilen. Dies ist in Bezug auf den Einzelfall zu untersuchen (Kiener, a.a.O., S. 145).</w:t>
      </w:r>
    </w:p>
    <w:p>
      <w:r>
        <w:rPr>
          <w:b/>
        </w:rPr>
        <w:t>E. 2.5.2</w:t>
      </w:r>
    </w:p>
    <w:p>
      <w:r>
        <w:t>Zu prüfen gilt es deshalb, inwieweit der Entscheidungsspielraum der beiden Gerichtspersonen durch die Vorbefassung mit der Materie in Bezug auf das Beschwerdeverfahren vor Bundesverwaltungsgericht eingeschränkt erscheint (Kiener, a.a.O., S. 148). Ein solcher Weisungsentwurf, wie er der Beschwerdeführerin zur Stellungnahme unterbreitet wurde, trägt vergleichbare Wesenszüge eines richterlichen Vergleichsvorschlags, wie er im Gerichtsalltag immer wieder vorkommt. Dabei wird das Ziel einer gütlichen Einigung, d.h. einer Schlichtung verfolgt, wobei die Aufarbeitung der Sachlage durch die Gerichtspersonen immer auch eine Befassung mit der Materie in rechtlichem Sinne einschliesst. Mit Blick auf die richterliche Unabhängigkeit und Unparteilichkeit sind solche Vorgänge unbedenklich, solange gewährleistet ist, dass die Gerichtspersonen ihre tatsächlichen oder rechtlichen Festlegungen als vorläufig anerkennen, dem jeweils neuesten Stand des Verfahrens entsprechend überprüfen und bei Vorliegen neuer Tatsachen und Argumente revidieren. An der verfassungsrechtlich geforderten Offenheit des Verfahrens wird deshalb nicht zu zweifeln sein, solange die Parteien die richterlichen Äusserungen und Vorschläge kommentieren und verwerfen, mithin die abschliessende Wertung argumentativ beeinflussen können (Kiener, a.a.O., S. 170 f.; Kölz/Häner/Bertschi, a.a.O., Rz. 1149; Dominik Vock, Art. 34, in: Karl Spühler/Heinz Aemisegger/Annette Dolge/Dominik Vock, Bundesgerichtsgesetz [BGG], 2. Aufl., Zürich/St.Gallen 2013, Rz. 16). Im vorliegenden Fall wäre demzufolge die Offenheit des Verfahrens dann gefährdet, wenn - wie von der Beschwerdeführerin behauptet - für die AD ESchK verbindliche Zusicherungen oder Versprechungen betreffend den Honoraransatz für die Mitglieder der ESchK Kreis 10 gemacht worden wären. Gleiches würde gelten, wenn die Weisung durch die AD ESchK erlassen worden wäre und die beiden Gerichtspersonen in der Folge die Rechtmässigkeit ihrer eigenen Weisung zu beurteilen hätten (vgl. Urteil des Bundesgerichts 5A_532/2007 vom 8. April 2008 E. 2.4). Wie hingegen diese in ihren Stellungnahmen unabhängig voneinander ausführen, sind keine Zusicherungen irgendeiner Art gemacht worden. Auch ist es - wie von der Beschwerdeführerin nicht bestritten - bei einem Entwurf für die Weisung geblieben. Letztendlich gilt es auch zu berücksichtigen, dass die Beweislast für erfolgte Zusicherungen oder Versprechungen an die Mitglieder der ESchK Kreis 10 grundsätzlich bei der Beschwerdeführerin liegt. Aufgrund der vorliegenden Akten ist in keiner Weise erstellt, dass durch die beiden Gerichtspersonen derartige Zusicherungen gemacht wurden. Weder kann den Akten ein diesbezüglicher Hinweis entnommen werden noch vermag die Beschwerdeführerin glaubhaft darzulegen, dass Zusicherungen oder Versprechen in erwähnter Art tatsächlich erfolgt sind (Kölz/Häner/Bertschi, a.a.O., Rz. 1102).</w:t>
      </w:r>
    </w:p>
    <w:p>
      <w:r>
        <w:rPr>
          <w:b/>
        </w:rPr>
        <w:t>E. 2.5.3</w:t>
      </w:r>
    </w:p>
    <w:p>
      <w:r>
        <w:t>Mangels gemachter Zusicherungen ist der geforderte Entscheidungsspielraum der Gerichtspersonen nach wie vor gegeben und die Befürchtung, dass die Offenheit des Verfahrens durch vorgefasste Entschlüsse gefährdet sein könnte, ist unbegründet (Kiener, a.a.O., S. 148; Häner, BSK, a.a.O., Rz. 19). Die Voraussetzungen für einen Ausstand nach Art. 34 Abs. 1 lit. e BGG sind somit nicht erfüllt. Auch aus der Tatsache, dass die beiden Gerichtspersonen einen Weisungsentwurf erarbeitet haben, kann somit keine Befangenheit aufgrund einer Vorbefassung abgeleitet werden.</w:t>
      </w:r>
    </w:p>
    <w:p>
      <w:r>
        <w:rPr>
          <w:b/>
        </w:rPr>
        <w:t>E. 3</w:t>
      </w:r>
    </w:p>
    <w:p>
      <w:r>
        <w:t>Zusammenfassend ist damit festzuhalten, dass bei objektiver Betrachtung somit keine Umstände vorliegen, die den Anschein der Befangenheit im Sinne von Art. 34 Abs. 1 lit. e BGG zu begründen vermögen und dass keine Anzeichen bestehen, dass die betreffenden Gerichtspersonen mit vorgefasster Meinung urteilen oder unsachlich entscheiden würden. Das Ausstandsbegehren gegen Richter Maurizio Greppi sowie gegen Richterin Claudia Pasqualetto Péquignot im Verfahren A-3924/2017 ist daher abzuweisen.</w:t>
      </w:r>
    </w:p>
    <w:p>
      <w:r>
        <w:rPr>
          <w:b/>
        </w:rPr>
        <w:t>E. 4</w:t>
      </w:r>
    </w:p>
    <w:p>
      <w:r>
        <w:t>Bei diesem Verfahrensausgang gilt die Beschwerdeführerin als unterliegend. Sie hat daher die Kosten für das vorliegende Verfahren zu tragen (Art. 63 Abs. 1 VwVG). Diese sind auf Fr. 300.-- festzusetzen (Art. 63 Abs. 1 und Abs. 4bis Bst. a VwVG i.V.m. Art. 3 Bst. b des Reglements vom 21. Februar 2008 über die Kosten und Entschädigungen vor dem Bundesverwaltungsgericht [VGKE, SR 173.320.2]). Die unterliegende Beschwerdeführerin hat sodann von vornherein keinen Anspruch auf eine Parteientschädigung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