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A-4383/2022 vom 13. Mai 2024</w:t>
      </w:r>
    </w:p>
    <w:p>
      <w:r>
        <w:t>Bundesverwaltungsgericht, 2024-05-13, IT</w:t>
      </w:r>
    </w:p>
    <w:p>
      <w:r>
        <w:rPr>
          <w:b/>
        </w:rPr>
        <w:t xml:space="preserve">Quelle: </w:t>
      </w:r>
      <w:r>
        <w:t>https://mcp.opencaselaw.ch/entscheid/bvger_A-4383_2022</w:t>
      </w:r>
    </w:p>
    <w:p>
      <w:r>
        <w:t>FR: TAF A-4383/2022 du 13 mai 2024</w:t>
      </w:r>
    </w:p>
    <w:p>
      <w:r>
        <w:t>IT: TAF A-4383/2022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Il ricorrente censura innanzitutto la violazione del suo diritto di essere sentito, in quanto non avrebbe avuto accesso a tutti gli atti della procedura. Egli non avrebbe infatti potuto accedere né alla domanda originale di assistenza amministrativa del 13 aprile 2017 né allo scambio interlocutorio tra l'autorità inferiore e l'autorità richiedente italiana citato da quest'ultima nella sua lettera 23 novembre 2018. Nella misura in cui la lettera 23 novembre/8 dicembre 2018 dell'autorità richiedente italiana non potrebbe essere considerata una domanda di assistenza amministrativa ai sensi dell'art. 6 LAAF, mancherebbe quindi agli atti messi a disposizione del ricorrente l'oggetto principale che dovrebbe essere sottoposto a verifica. Già per tale motivo, esso ritiene che la decisione impugnata andrebbe annullata (cfr. ricorso 29 settembre 2022, pagg. 3-4 e 8-9).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3.1.2</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112 Ia 202 consid. 2a; [tra le tante] sentenza del TAF A-1524/2018 del 9 aprile 2019 consid. 3.1.2). Giusta l'art. 26 PA - che riprende per l'essenziale i principi giurisprudenziali (cfr. Moor/Poltier, Droit administratif, vol. II, 3a ed. 2011,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(cfr. DTF 132 II 485 consid. 3.2; 121 I 225 consid. 2a; 119 Ia 139 consid. 2b; [tra le tante] sentenza del TAF A-1524/2018 del 9 aprile 2019 consid. 3.1.2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DTF 117 Ia 424 consid. 28; sentenza del TF 5A_832/2012 del 25 gennaio 2013 consid. 4.2.2; [tra le tante] sentenza del TAF A-1524/2018 del 9 aprile 2019 consid. 3.1.2 con rinvii; Adelio Scolari, Diritto amministrativo, Parte generale, 2002, n. 517; Aubert/Mahon, Petit commentaire de la Constitution fédérale de la Conféderation suisse du 18 avril 1999, 2003, n. 6 ad art. 29 Cost., pag. 268). Tale diritto non è tuttavia assoluto, in quanto è soggetto a restrizioni che possono, in particolare, fondarsi sull'interesse prevalente dello Stato o sul diritto legittimo di terzi privati a che non siano divulgati i loro segreti (cfr. artt. 26 e 27 PA),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[tra le tante] sentenza del TAF A-1524/2018 del 9 aprile 2019 consid. 3.1.2 con rinvii; Scolari, op. cit., n. 521 con rinvii; Aubert/Mahon, op. cit., n. 6 ad art. 29 Cost., pag. 268 con rinvii). Giusta l'art. 28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 (cfr. [tra le tante] sentenza del TAF A-1524/2018 del 9 aprile 2019 consid. 3.1.2).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3.2</w:t>
      </w:r>
    </w:p>
    <w:p>
      <w:r>
        <w:t>Al riguardo, il Tribunale rileva come la violazione del diritto di essere sentito del ricorrente non sia qui fondata, nella misura in cui lo stesso ha avuto accesso a tutti gli atti rilevanti della procedura sia dinanzi all'autorità inferiore che in questa sede, conformemente a quanto prescritto dall'art. 26 PA (cfr. consid. 3.1.2 del presente giudizio). Più nel dettaglio, il Tribunale rileva che qui determinante è la domanda di assistenza amministrativa italiana del 23 novembre 2018 e non la citata lettera del 13 aprile 2017. Di fatto, la lettera citata dal ricorrente non è un atto rilevante della presente procedura. Detto in altri termini, come giustamente rilevato anche dall'autorità inferiore (cfr. risposta 21 novembre 2022, punti n. 3-4) tutta la procedura di assistenza amministrativa è stata condotta dall'autorità richiesta sulla base della domanda di assistenza amministrativa del 23 novembre 2018. Ora, nella misura in cui il ricorrente ha avuto accesso alla predetta domanda e a tutti gli altri atti rilevanti su cui si fonda la decisione impugnata, lo stesso dispone di tutti gli elementi essenziali per contestare in piena cognizione di causa la decisione impugnata, ciò che ha fatto nel suo ricorso 29 settembre 2022. Quanto agli scambi intercorsi tra le autorità, il Tribunale rileva come si tratti di atti interni, non soggetti a consultazione e comunque non rilevanti ai fini del giudizio. A titolo abbondanziale, va altresì ricordato che, lo stesso Tribunale federale ha riconosciuto l'ammissibilità formale e materiale della domanda di assistenza amministrativa del 23 novembre 2018 (cfr. consid. 2.3 del presente giudizio), ragion per cui l'accesso a tali atti - che come detto non sono atti della procedura - nulla muterebbe al riguardo. Ne consegue che non è ravvisabile alcuna violazione del diritto di essere sentito del ricorrente, sicché detta censura va qui respinta.</w:t>
      </w:r>
    </w:p>
    <w:p>
      <w:r>
        <w:rPr>
          <w:b/>
        </w:rPr>
        <w:t>E. 4</w:t>
      </w:r>
    </w:p>
    <w:p>
      <w:r>
        <w:t>In concreto, oggetto del litigio è la decisione finale del 29 agosto 2022 dell'autorità inferiore, indirizzata al qui ricorrente, con cui quest'ultima ha accolto la domanda raggruppata italiana di assistenza amministrativa del 23 novembre 2018, per quanto concerne il ricorrente e i signori G._______ e F._______. In tale contesto, qui di seguito verranno innanzitutto richiamati i principi applicabili alla presente fattispecie.</w:t>
      </w:r>
    </w:p>
    <w:p>
      <w:r>
        <w:rPr>
          <w:b/>
        </w:rPr>
        <w:t>E. 4.1.1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4.1.2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4.2.1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4.1.2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4.2.2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4.3.1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4.3.3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4.4.1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4.4.2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4.6.1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4.3.1 del presente giudizio; cfr. [tra le tante] sentenze del TAF A-1761/2021 del 2 dicembre 2021 consid. 2.7.2; A-5662/2020 del 10 maggio 2021 consid. 2.7.2).</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4.3.1 del presente giudizio) della rilevanza verosimile (cfr. DTF 142 II 161 consid. 4.5.2; [tra le tante] sentenze del TAF A-1761/2021 del 2 dicembre 2021 consid. 2.8; A-5662/2020 del 10 maggio 2021 consid. 2.8).</w:t>
      </w:r>
    </w:p>
    <w:p>
      <w:r>
        <w:rPr>
          <w:b/>
        </w:rPr>
        <w:t>E. 5</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5.1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censura del ricorrente relativa al difetto dei requisiti formali - che non occorre qui evocare in dettaglio (cfr. al riguardo, ricorso 29 settembre 2022, pagg. 13-15) - non può che essere respinta.</w:t>
      </w:r>
    </w:p>
    <w:p>
      <w:r>
        <w:rPr>
          <w:b/>
        </w:rPr>
        <w:t>E. 5.2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5.2.1 del presente giudizio) e non viola né il principio della buona fede (cfr. consid. 5.2.2 del presente giudizio), né quello della sussidiarietà (cfr. consid. 5.2.3 del presente giudizio).</w:t>
      </w:r>
    </w:p>
    <w:p>
      <w:r>
        <w:rPr>
          <w:b/>
        </w:rPr>
        <w:t>E. 5.2.1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4.3.3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5.2.1.1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5.2.1.2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5.2.1.3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(cfr. lett. ebis cifra 3 del Protocollo aggiuntivo), ciò che si oppone all'adozione di un approccio eccessivamente formalista (cfr. citata sentenza del TF 2C_73/2021 consid. 6.2).</w:t>
      </w:r>
    </w:p>
    <w:p>
      <w:r>
        <w:rPr>
          <w:b/>
        </w:rPr>
        <w:t>E. 5.2.2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4.4.3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5.2.3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4.6.2 del presente giudizio).</w:t>
      </w:r>
    </w:p>
    <w:p>
      <w:r>
        <w:rPr>
          <w:b/>
        </w:rPr>
        <w:t>E. 5.3</w:t>
      </w:r>
    </w:p>
    <w:p>
      <w:r>
        <w:t>Ora, nel suo gravame, il ricorrente indica innanzitutto che la lettera 3 febbraio 2014 della banca B._______/C._______ allegata alla domanda di assistenza amministrativa italiana del 23 novembre 2018, non sarebbe mai, in maniera comprovata, stata comunicata ai clienti di tale banca e possibilmente non sarebbe nemmeno autentica. Sia la lettera 20 febbraio 2015 che la lettera 3 febbraio 2014 della banca B._______/C._______, non rispetterebbero poi le condizioni poste dall'art. 3 OAAF, nella misura in cui non annuncerebbero la chiusura del conto, in caso di mancata prova della conformità fiscale dei clienti. In tale frangente, la domanda costituirebbe una « fishing expedition », in quanto dette lettere non adempirebbero ai requisiti della comunicazione valida ai clienti per poter determinare che siano recalcitranti. Neppure la lettera 20 febbraio 2015 sarebbe peraltro stata inviata al ricorrente (cfr. ricorso 29 settembre 2022, pagg. 15-20).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5.1 e 5.2 del presente giudizio). È la predetta domanda raggruppata in quanto tale che è stata ritenuta ammissibile dal Tribunale federale. In particolare, come visto, il Tribunale federale ha già avuto modo di esprimersi in merito alle due lettere 3 febbraio 2014 e 20 febbraio 2015, giungendo alla conclusione che la lettera 20 febbraio 2015 è idonea a fondare il modello di comportamento alla base della domanda raggruppata (cfr. considd. 5.2.1.2-5.2.1.3 del presente giudizio). In tale frangente, le censure ricorsuali relative alla loro validità ed attendibilità non sono rilevanti. Ora, questa stessa domanda è alla base della presente procedura di ricorso, sicché non si può seguire il ricorrente allorquando ritiene - contrariamente a quanto stabilito dal Tribunale federale - che la domanda non sia conforme alla CDI CH-IT. Quanto alla censura relativa al fatto che il ricorrente non avrebbe ricevuto la lettera 20 febbraio 2015, si rinviano le parti al consid. 6 del presente giudizio.</w:t>
      </w:r>
    </w:p>
    <w:p>
      <w:r>
        <w:rPr>
          <w:b/>
        </w:rPr>
        <w:t>E. 6</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il Tribunale rileva come, da un esame degli atti dell'incarto - e meglio dalla documentazione fornita dalla banca B._______/C._______ (cfr. atto n. 18.2 dell'incarto prodotto dall'autorità inferiore su chiave USB [di seguito: inc. AFC], pag. 1) -, risulti chiaramente che durante il periodo interessato dalla predetta domanda raggruppata, il ricorrente era contitolare - assieme ai signori G._______ e F._______ - di un conto bancario presso la banca B._______/C._______. È poi verosimile ch'esso abbia ricevuto la lettera 20 febbraio 2015 della predetta banca (cfr. atto n. 18.2 dell'inc. AFC, pagg. 5 e 6). Innanzitutto, dalla documentazione bancaria risulta che il ricorrente - diversamente da quanto da lui sostenuto - abbia dato alla banca ordine di trattenere la corrispondenza presso la banca (cfr. atto n. 18.2 dell'inc. AFC, pag. 2). Risulta poi che lo stesso si è recato in banca il 20 febbraio 2015 e il 25 febbraio 2015 e che in tali occasioni abbia indicato di non voler aderire alla « voluntary disclosure » e di voler estinguere il conto bancario (cfr. atto n. 18.2 dell'inc. AFC, pag. 6). In tali circostanze, vi è motivo di presumere ch'esso abbia avuto conoscenza di detto scritto. Secondo quanto giustamente indicato dall'autorità inferiore (cfr. decisione impugnata, consid. 8; risposta 21 novembre 2022, punti n. 9-11), il ricorrente non ha reagito a detta lettera comprovando la sua conformità fiscale, sicché lo stesso rientra nel modello di comportamento descritto nella domanda raggruppata. Ora, nel suo gravame, il ricorrente contesta di aver ricevuto la lettera 20 febbraio 2015 della banca. Anche nel corso dell'incontro avvenuto presso la sede della banca, in data 20 febbraio 2015 questa lettera 20 febbraio 2015 (e men che meno quella del 3 febbraio 2014) non sarebbe stata citata né mostrata al ricorrente. Il fatto che la lettera porti la stessa data del presunto incontro con il ricorrente presso la banca, farebbe supporre esattamente il contrario, vale a dire che quel giorno non poteva essere mostrata ai clienti. Il fatto che il consulente bancario abbia indicato nelle note che le persone presenti (cui non si fa specifico riferimento) avrebbero valutato col loro commercialista di non aderire alla « Voluntary disclosure » non significherebbe che detto consulente abbia loro spiegato (chiunque essi fossero), che in caso non fosse stata fornita la prova della loro conformità fiscale, la banca avrebbe chiuso (bloccato) il conto. L'accenno al fatto che le persone presenti si sarebbero affidate a detta loro o del consulente bancario ad uno studio legale di Lugano non addurrebbe alcuna prova né indizio rilevante che ai presenti sarebbe stata spiegata efficacemente la situazione né che sarebbe stata mostrata loro la lettera 20 febbraio 2015. Peraltro, mancherebbe qualsiasi evidenza agli atti che il qui ricorrente fosse presente il 20 febbraio 2015 all'incontro così sommariamente descritto. Mancherebbe qualsiasi prova che gli sia stato detto in modo chiaro che avrebbe dovuto provare alla banca la propria conformità fiscale e che in mancanza di ciò il conto a lui cointestato sarebbe stato chiuso o altro. Mancherebbe altresì la prova che al ricorrente sia stata mostrata o fatta leggere la lettera del 20 febbraio 2015. Peraltro, non vi sarebbe stato alcun ordine di posta trattenuta. Secondo il ricorrente, il fatto poi annotato dal consulente bancario che i contitolari del conto avrebbero dato ordine di trasferire in un Paese UE-28 su un conto nominativo il saldo scaturito dal riscatto delle polizze assicurative indurrebbe a pensare alla loro conformità fiscale. Da ultimo egli sottolinea che in Italia esisterebbero altri modi per rendersi conformi fiscalmente nel caso non lo si fosse già, ad esempio il cosiddetto « Ravvedimento operoso basato sull'art. 13 del Decreto legislativo del 18 dicembre 1997 n. 472 della legge italiana » (cfr. doc. D prodotto dal ricorrente). Secondo il ricorrente, nulla potrebbe far presumere ch'esso si sia sottratto alla propria conformità fiscale e i bonifici tracciabili ordinati su un conto nominativo in uno Stato appartenente all'UE-28 (nonché la sua posta che non veniva trattenuta in banca) lo comproverebbero (cfr. ricorso 29 settembre 2022, pagg. 7 e 18-20). Sennonché, tale argomentazione non può essere qui seguita dallo scrivente Tribunale. Come già rilevato a più riprese, il Tribunale federale ha già avuto modo di considerare la predetta lettera 20 febbraio 2015 come idonea a fondare il modello di comportamento alla base della domanda raggruppata (cfr. consid. 5.3 del presente giudizio). Quanto alla validità delle annotazioni del consulente bancario del ricorrente di cui all'atto n. 18.2 dell'inc. AFC, pag. 6, il Tribunale non intravvede per quale motivo il consulente bancario - che per prassi, tiene traccia di quanto discusso durante gli incontri con i propri clienti - avrebbe dovuto discutere della relazione bancaria con altre persone al di fuori dei suoi contitolari. Il fatto che tali annotazioni non precisino il nome dei tre contitolari, non è una circostanza tale da inficiarne la validità. Non si vede infatti come un terzo avrebbe potuto recarsi al loro posto in banca, esprimersi in loro vece e chiedere la chiusura del conto. In tali circostanze, appare poco probabile che gli stessi non siano stati informati in merito allo scritto 20 febbraio 2015, rispettivamente alle conseguenze della mancata conformità fiscale alla normativa italiana. Come già rilevato, dagli atti (cfr. atto n. 18.2 dell'inc. AFC, pag. 2) risulta poi che invero gli stessi avessero dato ordine alla banca di trattenere la posta. Ciò puntualizzato, non va dimenticato che la condizione per la concessione dell'assistenza amministrativa dipende dalla questione a sapere se il ricorrente abbia o meno oggettivamente fornito alla banca la prova di detta regolarizzazione nel termine impartito. Ora, nel suo caso, il ricorrente non ha fornito alla banca alcuna prova quanto alla conformità fiscale del conto bancario alla normativa italiana e nemmeno indicato di averlo concretamente fatto in questa sede. A parte limitarsi ad indicare che vi sarebbero altri modi per essere conformi alla normativa fiscale italiana, il ricorrente non ha infatti prodotto né dinanzi all'autorità inferiore, né in questa sede alcun documento comprovante la conformità fiscale del suo conto. Si deve dunque concludere che il ricorrente rientra nel modello di comportamento in oggetto e che nel suo caso la trasmissione delle informazioni era ammissibile.</w:t>
      </w:r>
    </w:p>
    <w:p>
      <w:r>
        <w:rPr>
          <w:b/>
        </w:rPr>
        <w:t>E. 7.1</w:t>
      </w:r>
    </w:p>
    <w:p>
      <w:r>
        <w:t>Da ultimo, il ricorrente sottolinea che la relazione bancaria a cui fa riferimento la decisione impugnata era cointestata a tre persone: il ricorrente, il signor F._______ e il signor G._______. Con decreto di edizione del 29 marzo 2019, l'autorità inferiore avrebbe invitato la banca B._______/C._______ ad informare tutti i contitolari delle relazioni bancarie interessate. Ora però, il signor F._______ - diversamente dal ricorrente e dal signor G._______ - non avrebbe mai ricevuto la lettera informativa del 2 dicembre 2019 della banca. Per questo motivo, il ricorrente ritiene che la procedura, non solo nei suoi confronti, ma anche degli altri contitolari, sarebbe da ritenersi irrituale e quindi nulla per vizio di forma (cfr. ricorso 29 settembre 2022, pagg. 5, 7 e 20).</w:t>
      </w:r>
    </w:p>
    <w:p>
      <w:r>
        <w:rPr>
          <w:b/>
        </w:rPr>
        <w:t>E. 7.2</w:t>
      </w:r>
    </w:p>
    <w:p>
      <w:r>
        <w:t>Sennonché tale censura invocata dal ricorrente per conto di terzi risulta qui inammissibile (sentenza del TF 2C_1037/2019 del 27 agosto 2020 consid. 6.2 [non pubblicato in: DTF 147 II 116]; anche DTF 143 II 506 consid. 5.1; 139 II 404 consid. 11.1). Di fatto, il ricorrente non invoca infatti la violazione del suo diritto di essere sentito, bensì quello del signor F._______, contitolare del conto bancario interessato dalla domanda di assistenza amministrativa italiana del 23 novembre 2018. Ora, è assodato che il qui ricorrente ha ricevuto la lettera 2 dicembre 2019 della banca B._______/C._______ (cfr. atto n. 13 dell'inc. AFC) e che, in ogni caso, lo stesso è stato informato dell'apertura della procedura di assistenza amministrativa dall'autorità inferiore mediante pubblicazione nel Foglio Federale (cfr. atto n. 19 dell'inc. AFC), sicché nei suoi confronti non è ravvisabile alcuna violazione del suo diritto di essere sentito. Ciò sancito, a titolo abbondanziale, il Tribunale rileva nondimeno che la censura sollevata dal ricorrente per conto del signor F._______ è in ogni caso infondata. A prescindere dalla questione a sapere s'egli abbia o meno ricevuto la lettera 2 dicembre 2019 della banca B._______/C._______, lo stesso - come nel caso del ricorrente - è comunque stato validamente informato dell'apertura della procedura di assistenza amministrativa dall'autorità inferiore mediante la pubblicazione nel Foglio Federale (cfr. atto n. 19 dell'inc. AFC), ciò conformemente a quanto disposto dall'art. 14 cpv. 3, 4 e 5 LAAF (cfr. al riguardo, per i dettagli, [tra le tante] sentenza del TAF A-6412/2020 del 19 settembre 2023 consid. 1.4.2.3). Nella misura in cui il signor F._______ - oggetto della procedura parallela - è poi stato in grado di prendere parte alla procedura dinanzi all'autorità inferiore, non è ravvisabile alcun pregiudizio e tanto meno una violazione del suo diritto di essere sentito. Anche ad avere ancora dubbi al riguardo, tale violazione - come detto, qui non ravvisabile - andrebbe poi considerata come sanata dinanzi all'autorità inferiore e in ogni caso dinanzi allo scrivente Tribunale (cfr. [tra le tante] sentenza del TAF A-6412/2020 del 19 settembre 2023 consid. 3.1.4).</w:t>
      </w:r>
    </w:p>
    <w:p>
      <w:r>
        <w:rPr>
          <w:b/>
        </w:rPr>
        <w:t>E. 8</w:t>
      </w:r>
    </w:p>
    <w:p>
      <w:r>
        <w:t>In conclusione, lo scrivente Tribunale deve constatare che la domanda raggruppata italiana di assistenza amministrativa del 23 novembre 2018 adempie tutti i requisiti formali e materiali alla base della sua ammissibilità. Nella misura in cui il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 In definitiva, la decisione impugnata va dunque confermata e il ricorso del ricorrente - per quanto ammissibile (cfr. consid. 7.2 del presente giudizio) - respinto.</w:t>
      </w:r>
    </w:p>
    <w:p>
      <w:r>
        <w:rPr>
          <w:b/>
        </w:rPr>
        <w:t>E. 9</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un'indennità a titolo di spese ripetibili (cfr. art.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