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A-4379/2022 vom 29. April 2024</w:t>
      </w:r>
    </w:p>
    <w:p>
      <w:r>
        <w:t>Bundesverwaltungsgericht, 2024-04-29, IT</w:t>
      </w:r>
    </w:p>
    <w:p>
      <w:r>
        <w:rPr>
          <w:b/>
        </w:rPr>
        <w:t xml:space="preserve">Quelle: </w:t>
      </w:r>
      <w:r>
        <w:t>https://mcp.opencaselaw.ch/entscheid/bvger_A-4379_2022</w:t>
      </w:r>
    </w:p>
    <w:p>
      <w:r>
        <w:t>FR: TAF A-4379/2022 du 29 avril 2024</w:t>
      </w:r>
    </w:p>
    <w:p>
      <w:r>
        <w:t>IT: TAF A-4379/2022 del 29 aprile 2024</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dei ricorrenti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André Moser et al., Prozessieren vor dem Bundesverwaltungsgericht, 3a ed. 2022,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D.a e D.b).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sono le due decisioni finali del 29 agosto 2022 dell'autorità inferiore, di ugual contenuto, con cui quest'ultima ha accolto la domanda raggruppata italiana di assistenza amministrativa del 23 novembre 2018, per quanto concerne il ricorrente 1 e la ricorrente 2. In tale contesto, qui di seguito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fonda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larga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estendere, né restringere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ammesso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lo scrivente Tribunale rileva come in concreto la domanda raggruppata italiana di assistenza amministrativa del 23 novembre 2018, alla base della presente procedura di ricorso, sia già stata oggetto - come detto (cfr. fatti, sub lett. D) - della sentenza pilota dello scrivente Tribunale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dai ricorrenti in correlazione con degli elementi su cui il Tribunale federale non si è pronunciato nella predetta sentenza 2C_73/2021, possono essere, di principio, ancora esaminate in dettaglio dallo scrivente Tribunale. Per quanto attiene alle censure già evase dal Tribunale federale, lo scrivente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dei ricorrenti,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federale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è altresì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D._______/E._______);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dallo scrivente Tribunale,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rileva come la domanda raggruppata indichi che qui interessati sono i cosiddetti contribuenti italiani recalcitranti, ovvero quei contribuenti italiani che durante il periodo fiscale interessato erano titolari di uno o più conti presso la banca D._______/E._______, domiciliati o residenti in Italia e non hanno reagito alla lettera inviata da detta banca che gli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D._______/E._______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D._______, ora E._______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D._______/E._______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D._______/E._______,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D._______/E._______ (minaccia di restrizioni all'utilizzo del conto) che non corrisponde esattamente a quanto esposto nella predetta domanda raggruppata (minaccia di chiusura forzata del conto), il Tribunale federale ha confermato quanto sancito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D._______/E._______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4.3</w:t>
      </w:r>
    </w:p>
    <w:p>
      <w:r>
        <w:t>Ora, nel loro gravame, i ricorrenti censurano la violazione degli artt. 3 LAAF e 3 OAAF, sostenendo che la predetta domanda raggruppata italiana andrebbe considerata come una « fishing expedition », per i motivi seguenti. Essendo pacifico che la lettera 3 febbraio 2014 acclusa alla domanda - di cui contestano l'attendibilità per vari motivi, invocando segnatamente l'art. 7 lett. c LAAF e indicando che l'autorità inferiore avrebbe perlomeno dovuto prendere in considerazione il rovesciamento della presunzione della buona fede e svolgere approfondimenti, chiedendo all'autorità richiedente italiana di fornire una dichiarazione di autenticità - non sarebbe mai stata notificata ai clienti della banca, sussisterebbe una circostanza tale da compromettere la validità della domanda e di ritenere la stessa quale « fishing expedition ». La lettera 20 febbraio 2015, di cui i ricorrenti contestano la notifica - non potrebbe poi rimpiazzare o sostituire la lettera 3 febbraio 2014, citata nella domanda e conseguentemente supplire a tale mancata notifica. A maggior ragione, quando il tenore della lettera 20 febbraio 2015 non sarebbe chiaro, non indicando che le conseguenze di una mancata azione da parte dei suoi destinatari comporterebbe una chiusura forzata del conto, bensì unicamente delle limitazioni all'operatività del conto. Con scritto 13 maggio 2019, anche la banca D._______/E._______ avrebbe riconosciuto che mancavano le basi per riconoscere il modello di comportamento ipotizzato nella domanda raggruppata, e riconosce quindi che detta domanda debba essere qualificata di « fishing expedition » (cfr. atto n. 8 dell'inc. AFC). Dello stesso avviso sarebbe l'esperto H._______ che aderirebbe allo scritto 7 giugno 2019 (cfr. atto n. 9 dell'inc. AFC). Non sarebbe poi comprovata la non conformità fiscale del deposito presso la banca D._______/E._______ del patrimonio esistente nel periodo richiesto. Verrebbe dunque a mancare uno dei requisiti del modello di comportamento ipotizzato nella domanda. Lo scritto inesistente della banca, non notificato ai suoi clienti, non potrebbe di certo delimitare sufficientemente la cerchia di soggetti fiscali. In tali circostanze la domanda sarebbe altresì priva di rilevanza verosimile (cfr. ricorso 29 settembre 2022, nel merito, punti n. 20-34; replica 9 novembre 2022). Sennonché tali censure non possono che essere qui respinte. Gli argomenti sollevati dai ricorrenti circa l'ammissibilità materiale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la predetta domanda raggruppata in quanto tale che è stata ritenuta ammissibile dal Tribunale federale. In particolare, come visto, il Tribunale federale ha già avuto modo di esprimersi in merito alle due lettere 3 febbraio 2014 e 20 febbraio 2015, giungendo alla conclusione che la lettera 20 febbraio 2015 è idonea a fondare il modello di comportamento alla base della domanda raggruppata (cfr. considd. 4.2.1.2-4.2.1.3 del presente giudizio). In tale frangente, le censure ricorsuali relative alla loro validità ed attendibilità non sono rilevanti. Lo scritto 13 maggio 2019 della banca D._______/E._______ e il parere del signor H._______ non hanno qui alcun influsso, nella misura in cui il Tribunale federale ha già sancito in maniera vincolante per lo scrivente Tribunale che detta domanda è formalmente e materialmente ammissibile. Ora, questa stessa domanda è alla base della presente procedura di ricorso, sicché non si può seguire i ricorrenti allorquando essi ritengono - contrariamente a quanto stabilito dal Tribunale federale - che la domanda non sia conforme alla CDI CH-IT.</w:t>
      </w:r>
    </w:p>
    <w:p>
      <w:r>
        <w:rPr>
          <w:b/>
        </w:rPr>
        <w:t>E. 5</w:t>
      </w:r>
    </w:p>
    <w:p>
      <w:r>
        <w:t>Constatata l'ammissibilità della domanda raggruppata italiana di assistenza amministrativa del 23 novembre 2018, occorre ancora stabilire se i ricorrenti rientrano o meno nel modello di comportamento (lecitamente) ivi descritto dall'autorità richiedente italiana. A tal proposito, il Tribunale rileva come, da un esame degli atti dell'incarto - e meglio dalla documentazione fornita dalla banca D._______/E._______ (cfr. atto n. 18.2 dell'incarto prodotto dall'autorità inferiore su chiave USB [di seguito: inc. AFC], pag. 1) -, risulti chiaramente che durante il periodo interessato dalla predetta domanda raggruppata, il ricorrente 1 e la ricorrente 2 erano co-titolari di un conto bancario presso la banca D._______/E._______. È poi verosimile ch'essi abbiano ricevuto la lettera 20 febbraio 2015 della predetta banca (cfr. atto n. 18.2, pagg. 5 e 6). Dalla documentazione bancaria risulta infatti, che i ricorrenti si sono recati in banca nel mese di aprile, giugno e novembre 2015 e che gli stessi siano stati informati più volte circa i rischi inerenti alla non adesione alla « voluntary disclosure » (cfr. atto n. 18.2, pag. 7). In tali circostanze, vi è motivo di presumere ch'essi abbiano avuto conoscenza di detto scritto. Secondo quanto giustamente indicato dall'autorità inferiore (cfr. decisione impugnata, consid. 8; risposta 20 ottobre 2022, punto n. 5), i ricorrenti non hanno reagito a detta lettera comprovando la loro conformità fiscale, sicché gli stessi rientrano nel modello di comportamento descritto nella domanda raggruppata. Ora, nel loro gravame, i ricorrenti contestano di aver ricevuto la lettera 20 febbraio 2015 e le generiche indicazioni, di cui alla pag. 7 dell'atto n. 18.2 dell'inc. AFC, allestite dal cosiddetto « RM » che dovrebbe essere il loro consulente di riferimento. Agli atti non sarebbe stato identificato il consulente e si tratterebbe di descrizioni formulate unilateralmente da quest'ultimo, senza contradditorio, e soprattutto senza sottoscrizione mediante firma autografa da parte dei ricorrenti per accettazione. Sfuggirebbe inoltre a chi l'impiegato avrebbe riferito di aver spedito lo scritto 20 febbraio 2015, dopo quanto tempo avrebbe riferito tale circostanza e se lo stesso si riferisse in particolare ai ricorrenti oppure in modo generico alle centinaia di clienti a lui affidati. Peraltro, le informazioni fornite dal consulente sarebbero posteriori allo scritto 20 febbraio 2015, nonché alla data di entrata in vigore della CDI CH-IT, sicché la stessa risulterebbe tardiva (cfr. ricorso 29 settembre 2022, nel merito, punti n. 23-25). Sennonché, tale argomentazione non può essere qui seguita dallo scrivente Tribunale. Come già rilevato a più riprese, il Tribunale federale ha già avuto modo di considerare la predetta lettera 20 febbraio 2015 come idonea a fondare il modello di comportamento alla base della domanda raggruppata (cfr. consid. 4.3 del presente giudizio). Quanto alla validità delle annotazioni del consulente bancario dei ricorrenti di cui all'atto n. 18.2 dell'inc. AFC, pag. 7, il Tribunale rileva come il semplice fatto ch'esse siano state prese unilateralmente dal consulente bancario e non siano state sottoscritte dai ricorrenti con firma autografa per accettazione non ne inficia la validità. Il Tribunale non intravvede infatti per quale motivo il consulente bancario - che per prassi, tiene traccia di quanto discusso durante gli incontri con i propri clienti - avrebbe dovuto annotare informazioni incorrette al loro riguardo. Che tali annotazioni siano posteriori alla lettera 20 febbraio 2015 - diversamente da quanto ritenuto dai ricorrenti - non significa che quest'ultima sia tardiva. Al contrario, dimostra semplicemente che i ricorrenti si sono recati in banca più volte successivamente alla lettera 20 febbraio 2015. Di fatto poi, se da un lato i ricorrenti contestano il contenuto delle annotazioni, d'altro lato gli stessi non negano tuttavia in alcun modo di essersi recati in banca nei mesi di aprile, giugno e novembre 2015, come risultante dall'atto n. 18.2 dell'inc. AFC, pag. 7. In tali circostanze, appare poco probabile che gli stessi non siano stati informati in merito allo scritto 20 febbraio 2015. Ciò puntualizzato, non va dimenticato che la condizione per la concessione dell'assistenza amministrativa dipende dalla questione a sapere se i ricorrenti abbiano o meno oggettivamente fornito alla banca la prova di detta regolarizzazione nel termine impartito. Ora, nel loro caso, i ricorrenti non hanno fornito alla banca alcuna prova quanto alla conformità fiscale del conto bancario alla normativa italiana e nemmeno indicato di averlo concretamente fatto in questa sede. Si deve dunque concludere che i ricorrenti rientrano nel modello di comportamento in oggetto e che la trasmissione delle informazioni era ammissibile.</w:t>
      </w:r>
    </w:p>
    <w:p>
      <w:r>
        <w:rPr>
          <w:b/>
        </w:rPr>
        <w:t>E. 6</w:t>
      </w:r>
    </w:p>
    <w:p>
      <w:r>
        <w:t>Da ultimo, i ricorrenti contestano, a titolo puramente cautelativo, l'attendibilità delle informazioni trasmesse dalla banca all'autorità inferiore, nonché l'entità del « account balance on 2015-02-28 » (cfr. atto n. 20 dell'inc. AFC). Le informazioni trasmesse si fonderebbero su un foglio excel trasmesso per e-mail dalla banca all'autorità inferiore. Detto documento non riporterebbe alcuna data e non sarebbe nemmeno riconducibile alla banca, non essendo stata utilizzata la carta intestata e apposta alcuna firma. Tenuto conto del fatto che la banca ha dovuto trasmettere all'autorità inferiore informazioni riguardanti migliaia di clienti, la probabilità di errore informatico sarebbe altissima. La presente contestazione avrebbe ancora più pertinenza rilevato che agli atti mancherebbe la prova più semplice ed attendibile, ovvero gli estratti patrimoniali e gli estratti conto a loro intestato, per il periodo di riferimento della domanda (23 febbraio 2015 - 31 dicembre 2016). Tale mancanza sarebbe da loro già stata segnalata all'autorità inferiore nel mese di marzo 2020, ovvero prima dell'emanazione delle decisioni impugnate. In assenza di tali documenti, non sarebbe pertanto possibile avere un riscontro riguardo all'entità del patrimonio nel periodo di riferimento e fare affidamento sull'indicazione apportata unilateralmente dalla banca. In tale contesto, i ricorrenti invocano la violazione del loro diritto di essere sentiti, concretizzata con il mancato accesso ai dati essenziali della presente procedura di assistenza amministrativa (cfr. ricorso 29 settembre 2022, nel merito, punti n. 34-35). Sennonché tale censura non è qui pertinente. Innanzitutto, come giustamente indicato dall'autorità inferiore (cfr. risposta 20 ottobre 2022, punto n. 7), l'autorità richiedente italiana si è limitata a chiedere il saldo dei conti bancari nel periodo rilevante, sicché è a giusto titolo che l'autorità inferiore si è anch'essa limitata a raccogliere le informazioni relative al saldo dei conti bancari. Nulla la obbligava a richiedere i documenti bancari. In assenza di tali documenti, non si vede come i ricorrenti possano invocare la violazione del loro diritto di essere sentiti per mancato accesso a degli atti che, di fatto, non sono oggetto della presente procedura di assistenza amministrativa. Conformemente all'art. 26 cpv. 1 PA, il diritto delle parti in causa di consultare ed esaminare gli atti è infatti limitato agli atti di causa, ovvero a tutti gli atti rilevanti per l'esito della procedura, rispettivamente a tutti gli atti che l'autorità prende in considerazione per fondare la propria decisione, quali le memorie delle parti e le osservazioni delle autorità, tutti gli atti adoperati come mezzi di prova e le copie delle decisioni notificate (cfr. DTF 137 IV 33 consid. 9.2; 132 II 485 consid. 3.2; [tra le tante] sentenza del TAF A-1524/2018 del 9 aprile 2019 consid. 3.1.2). A ciò va ancora aggiunto che, sempre come giustamente rilevato dall'autorità inferiore (cfr. risposta 20 ottobre 2022, punto n. 7), si può presumere che i ricorrenti, in qualità di titolari del conto bancario, siano in grado di accedere ai documenti di cui lamentano la mancanza, rispettivamente di procurarsi tutta la documentazione bancaria necessaria a verificare la veridicità delle informazioni oggetto di trasmissione, consultando la banca al riguardo. In tale frangente, non si vede in che modo sia stato violato il loro diritto di essere sentiti. Se avessero voluto, gli stessi avrebbero infatti potuto procurarsi facilmente tali documenti. Ne consegue che tale censura va qui respinta.</w:t>
      </w:r>
    </w:p>
    <w:p>
      <w:r>
        <w:rPr>
          <w:b/>
        </w:rPr>
        <w:t>E. 7</w:t>
      </w:r>
    </w:p>
    <w:p>
      <w:r>
        <w:t>In conclusione, lo scrivente Tribunale deve constatare che la domanda raggruppata italiana di assistenza amministrativa del 23 novembre 2018 adempie tutti i requisiti formali e materiali alla base della sua ammissibilità. Nella misura in cui i qui ricorrenti rientrano nel modello di comportamento alla sua base, è dunque a giusta ragione che l'autorità inferiore ha concesso nei loro confronti l'assistenza amministrativa in materia fiscale all'Italia. Il Tribunale non intravvede pertanto alcun valido motivo per respingere la domanda di assistenza in oggetto o annullare la decisione impugnata, così come invece postulato dai ricorrenti nel loro gravame. In definitiva, la decisione impugnata va dunque confermata e il ricorso dei ricorrenti integralmente respinto.</w:t>
      </w:r>
    </w:p>
    <w:p>
      <w:r>
        <w:rPr>
          <w:b/>
        </w:rPr>
        <w:t>E. 8</w:t>
      </w:r>
    </w:p>
    <w:p>
      <w:r>
        <w:t>In considerazione dell'esito della lite, giusta l'art. 63 cpv. 1 PA, le spese di procedura sono poste in solido a carico dei ricorrenti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loro versato a suo tempo. Non vi sono poi i presupposti per l'assegnazione ai ricorrenti di un'indennità a titolo di spese ripetibili (cfr. art. 64 cpv. 1 PA a contrario, rispettivamente art. 7 cpv. 1 TS-TAF a contrario).</w:t>
      </w:r>
    </w:p>
    <w:p>
      <w:r>
        <w:rPr>
          <w:b/>
        </w:rPr>
        <w:t>E. 9</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