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A-4360/2007 vom 3. Juli 2009</w:t>
      </w:r>
    </w:p>
    <w:p>
      <w:r>
        <w:t>Bundesverwaltungsgericht, 2009-07-03, DE</w:t>
      </w:r>
    </w:p>
    <w:p>
      <w:r>
        <w:rPr>
          <w:b/>
        </w:rPr>
        <w:t xml:space="preserve">Quelle: </w:t>
      </w:r>
      <w:r>
        <w:t>https://mcp.opencaselaw.ch/entscheid/bvger_A-4360_2007</w:t>
      </w:r>
    </w:p>
    <w:p>
      <w:r>
        <w:t>FR: TAF A-4360/2007 du 3 juillet 2009</w:t>
      </w:r>
    </w:p>
    <w:p>
      <w:r>
        <w:t>IT: TAF A-4360/2007 del 3 luglio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ff.; ULRICH HÄFELIN/GEORG MÜLLER/FELIX UHLMANN, Allgemeines Verwaltungsrecht, 5. Aufl., Zürich 2006, Rz. 1758 ff.).</w:t>
      </w:r>
    </w:p>
    <w:p>
      <w:r>
        <w:rPr>
          <w:b/>
        </w:rPr>
        <w:t>E. 1.3</w:t>
      </w:r>
    </w:p>
    <w:p>
      <w:r>
        <w:t>Gemäss Art. 61 Abs. 1 VwVG entscheidet die Beschwerdeinstanz in der Sache selbst oder weist diese ausnahmsweise mit verbindlichen Weisungen an die Vorinstanz zurück. Ein solcher Rückweisungsentscheid rechtfertigt sich vor allem dann, wenn weitere Tatsachen festgestellt werden müssen und ein umfassendes Beweisverfahren durchzuführen ist (ALFRED KÖLZ/ISABELLE HÄNER, Verwaltungsverfahren und Verwaltungsrechtspflege des Bundes, 2. Aufl., Zürich 1998, Rz. 694; MOSER/BEUSCH/KNEUBÜHLER, a.a.O., Rz. 3.194). Auch wenn der Rechtsmittelinstanz die Befugnis zusteht, weitere Sachverhaltsabklärungen vorzunehmen, soll in diesem Fall die mit den örtlichen Verhältnissen besser vertraute oder sachlich kompetentere Behörde über die Angelegenheit des Beschwerdeführers entscheiden. Diese Methode wahrt das Prinzip der Garantie des doppelten Instanzenzuges, da die Beschwerdeführerin den aufgrund der Rückweisung getroffenen neuen Entscheid der Vorinstanz wiederum mit allen zulässigen Rechtsmitteln anfechten kann (zum Ganzen: Urteile des Bundesverwaltungsgerichts A-7512/2006 vom 23. August 2007 E. 6.1, A-1363/2006 vom 30. Mai 2007 E. 1.3).</w:t>
      </w:r>
    </w:p>
    <w:p>
      <w:r>
        <w:rPr>
          <w:b/>
        </w:rPr>
        <w:t>E. 2.1</w:t>
      </w:r>
    </w:p>
    <w:p>
      <w:r>
        <w:t>Die Veranlagung und Entrichtung der Mehrwertsteuer erfolgt nach dem Selbstveranlagungsprinzip (Art. 46 f. des Bundesgesetzes vom 2. September 1999 über die Mehrwertsteuer [MWSTG, SR 641.20];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(ALOIS CAMENZIND/NIKLAUS HONAUER/KLAUS A. VALLENDER, Handbuch zum neuen Mehrwertsteuergesetz [MWSTG], 2. Aufl., Bern 2003, Rz. 1680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Verordnung vom 22. Juni 1994 über die Mehrwertsteuer [Kommentar EFD], S. 38). Ein Verstoss des Steuerpflichtigen gegen diesen Grundsatz ist als schwerwiegend anzusehen, da der Steuerpflichtige durch das Missachten dieser Vorschrift die ordnungsgemässe Erhebung der Mehrwertsteuer gefährdet (Urteile des Bundesverwaltungsgerichts A-1634/2006 vom 31. März 2009 E. 3.4, A-1527/2006 vom 6. März 2008 E. 2.1, A-1406/2006 vom 30. Januar 2008 E. 2.1 mit weiteren Hinweisen).</w:t>
      </w:r>
    </w:p>
    <w:p>
      <w:r>
        <w:rPr>
          <w:b/>
        </w:rPr>
        <w:t>E. 2.2</w:t>
      </w:r>
    </w:p>
    <w:p>
      <w:r>
        <w:t>Gemäss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2001 zur Mehrwertsteuer" vom Sommer 2000 (Wegleitung 2001), gültig ab 1. Januar 2001, Gebrauch gemacht. Darin sind genauere Angaben enthalten, wie eine Buchhaltung auszugestalten ist (Rz. 878 ff.). Alle Geschäftsfälle müssen fortlaufend, chronologisch und lückenlos aufgezeichnet werden (Rz. 884)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890 der Wegleitung 2001). 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A-1406/2006 vom 30. Januar 2008 E. 2.2 mit weiteren Hinweisen). Damit befinden sich die mehrwertsteuerlichen Anforderungen an die Aufzeichnungspflicht auch im Einklang mit den bei den direkten Steuern geltenden Regelungen (vgl. auch Rz. 888 der Wegleitung 2001). Die detaillierte und chronologische Führung eines Kassabuches muss besonders hohen Anforderungen genügen (vgl. dazu auch HANS GERBER, Die Steuerschätzung [Veranlagung nach Ermessen], in Steuer Revue [StR] 1980 S. 306).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2A.693/2006 vom 26. Juli 2007 E. 3.1, 2A.657/2005 vom 9. Juni 2006 E. 3; Urteile des Bundesverwaltungsgerichts A-1634/2006 vom 31. März 2009 E. 3.5, A-1527/2006 vom 6. März 2008 E. 2.2, A-1406/2006 vom 30. Januar 2008 E. 2.2 mit weiteren Hinweisen).</w:t>
      </w:r>
    </w:p>
    <w:p>
      <w:r>
        <w:rPr>
          <w:b/>
        </w:rPr>
        <w:t>E. 2.3</w:t>
      </w:r>
    </w:p>
    <w:p>
      <w:r>
        <w:t>Liegen keine oder nur unvollständige Aufzeichnungen vor, oder stimmen die ausgewiesenen Ergebnisse mit dem wirklichen Sachverhalt offensichtlich nicht überein, so nimmt die ESTV nach Art. 60 MWSTG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Rz. 1). Die Ermessenseinschätzung ist deshalb auch logische Folge von Art. 62 MWSTG, der die ESTV beauftragt, die Erfüllung der den Steuerpflichtigen obliegenden Pflichten zu überprüfen (Urteil des Bundesverwaltungsgerichts A-1549/2006 vom 16. Mai 2008 E. 2.3; PASCAL MOLLARD, TVA et taxation par estimation, veröffentlicht in Archiv für Schweizerisches Abgaberecht [ASA] 69 S. 519).</w:t>
      </w:r>
    </w:p>
    <w:p>
      <w:r>
        <w:rPr>
          <w:b/>
        </w:rPr>
        <w:t>E. 3.1</w:t>
      </w:r>
    </w:p>
    <w:p>
      <w:r>
        <w:t>Zu unterscheiden sind zwei voneinander unabhängige Konstellationen, welche zu einer Ermessenseinschätzung gemäss Art. 60 MWSTG führen. Erstens geht es um diejenige der ungenügenden Aufzeichnung, wobei eine Schätzung insbesondere dann erfolgen muss, wenn die Verstösse gegen die formellen Buchhaltungsregeln derart gravierend sind, dass sie die materielle Richtigkeit der Buchhaltungsergebnisse in Frage stellen (statt vieler: Urteil des Bundesgerichts 2A.437/2005 vom 3. Mai 2006 E. 3.1; Urteil des Bundesverwaltungsgerichts A-1531/2006 vom 10. Januar 2008 E. 2.4).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vorausgesetzt der Steuerpflichtige ist nicht in der Lage, allfällige besondere Umstände, auf Grund welcher diese Abweichung erklärt werden kann, nachzuweisen oder zumindest glaubhaft zu machen (statt vieler: Urteile des Bundesverwaltungsgerichts A-1406/2006 vom 30. Januar 2008 E. 2.3, A-5712/2007 vom 17. Januar 2008 E. 2.6). Für das Vorliegen der Voraussetzungen zur Vornahme einer Ermessenseinschätzung ist nach den allgemeinen Regeln die ESTV beweisbelastet (Urteile des Bundesverwaltungsgerichts A-1578/2006 vom 2. Oktober 2008 E. 5.3, A-1527/2006 vom 6. März 2008 E. 2.4, A-1531/2006 vom 10. Januar 2008 E. 2.4; BLUMENSTEIN/LOCHER, a.a.O., S. 454).</w:t>
      </w:r>
    </w:p>
    <w:p>
      <w:r>
        <w:rPr>
          <w:b/>
        </w:rPr>
        <w:t>E. 3.2</w:t>
      </w:r>
    </w:p>
    <w:p>
      <w:r>
        <w:t>Sind die Voraussetzungen für eine Ermessenstaxation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(Kommentar EFD zu Art. 48 MWSTV; Urteil des Bundesgerichts 2A.552/2006 vom 1. Februar 2007 E. 3.2: Urteil des Bundesverwaltungsgerichts A-1549/2006 vom 16. Mai 2008 E. 3.2).</w:t>
      </w:r>
    </w:p>
    <w:p>
      <w:r>
        <w:rPr>
          <w:b/>
        </w:rPr>
        <w:t>E. 4.1</w:t>
      </w:r>
    </w:p>
    <w:p>
      <w:r>
        <w:t>Die ESTV hat die Schätzung nach pflichtgemässem Ermessen vorzunehmen, d.h.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vom 29. August 1991, veröffentlicht in ASA 61 S. 819 E. 3a, vom 4. Mai 1983, veröffentlicht in ASA 52 S. 238 E. 4). Die Ermessensveranlagung hat somit zum Ziel, den tatsächlichen Gegebenheiten möglichst gerecht zu werden. Es haftet ihr deshalb eine gewisse Unsicherheit an, die der Steuerpflichtige aufgrund seiner Pflichtverletzung jedoch selber zu vertreten hat (Urteil des Bundesgerichts 2A.437/2005 vom 3. Mai 2006 E. 3.2; Urteile des Bundesverwaltungsgerichts A-1523/2006 vom 10. Dezember 2008 E. 2.3.3, A-1526/2006 vom 28. Januar 2008 E. 3.3 und 3.4, A-1531/2006 vom 10. Januar 2008 E. 2.5.1 mit Hinweisen). Ein pflichtgemässes Ermessen schliesst aber auch ein, dass die ESTV in zumutbarem Rahmen Auskünfte, Nachweise und Belege bei Dritten einholt (METZGER, a.a.O., S. 190 Rz. 3). Im Weiteren ist dem Steuerpflichtigen Gelegenheit zur Stellungnahme zu geben und Akteneinsicht zu gewähren (vgl. Urteil des Bundesverwaltungsgerichts A-1549/2006 vom 16. Mai 2008 E. 4.1).</w:t>
      </w:r>
    </w:p>
    <w:p>
      <w:r>
        <w:rPr>
          <w:b/>
        </w:rPr>
        <w:t>E. 4.2</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 A-1454/2006 vom 26. September 2007 E. 2.6.1, A-1398/2006 vom 19. Juli 2007 E. 2.4 mit Hinweisen; vgl. auch MOLLARD, a.a.O., in: ASA 69 S. 526 ff.).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Die brauchbaren Teile der Buchhaltung und allenfalls vorhandene Belege sind soweit als möglich bei der Schätzung mitzuberücksichtigen. Sie können durchaus als Basiswerte der Ermessenstaxation fungieren (Urteile des Bundesverwaltungsgerichts A-1634/2006 vom 31. März 2009 E. 3.7, A-1549/2006 vom 16. Mai 2008 E. 4.2, A-1527/2006 vom 6. März 2008 E. 2.3; GERBER, a.a.O., S. 307).</w:t>
      </w:r>
    </w:p>
    <w:p>
      <w:r>
        <w:rPr>
          <w:b/>
        </w:rPr>
        <w:t>E. 4.3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(Urteile des Bundesgerichts 2A.437/2005 vom 3. Mai 2006 E. 4.3.2, 2A.148/2000 vom 1. November 2000 E. 5b; Urteile des Bundesverwaltungsgerichts A-1596/2006 vom 2. April 2009 E. 2.5.2, A-1549/2006 vom 16. Mai 2008 E. 4.3). Die Umlage des Referenzjahres auf die übrigen Jahre der Kontrollperiode darf allerdings nicht unbesehen geschehen. Da es sich um eine schätzungsweise Ermittlung der nicht ausgewiesenen Umsätze handelt, ist die ESTV zwar nicht verpflichtet, in den anderen Zeitabschnitten Erhebungen mit dem gleichen Aufwand zu betreiben. Es bedarf jedoch gewichtiger Anhaltspunkte dafür, dass in den anderen Kalenderjahren dieselben Verhältnisse vorgeherrscht haben wie im Basisjahr (Urteile des Bundesverwaltungsgerichts A-1475/2006 vom 20. November 2008 E. 2.4, A-1549/2006 vom 16. Mai 2008 E. 4.3, A-1531/2006 vom 10. Januar 2008 E. 2.5.1 mit weiteren Hinweisen).</w:t>
      </w:r>
    </w:p>
    <w:p>
      <w:r>
        <w:rPr>
          <w:b/>
        </w:rPr>
        <w:t>E. 5.1</w:t>
      </w:r>
    </w:p>
    <w:p>
      <w:r>
        <w:t>Das Bundesverwaltungsgericht auferlegt sich bei der Überprüfung von zulässigerweise erfolgten Ermessensveranlagungen eine gewisse Zurückhaltung (Urteil des Bundesverwaltungsgerichts A-1596/2006 vom 2. April 2009 E. 2.5.3) und führt so die gefestigte diesbezügliche Rechtsprechung der SRK weiter, die höchstrichterlich bestätigt worden ist (vgl. Urteil des Bundesgerichts 2C_426/2007 vom 22. November 2007 E. 4.3). Ob indessen die Voraussetzungen für die Vornahme einer Ermessensveranlagung gegeben sind, überprüft das Bundesverwaltungsgericht uneingeschränkt (Urteile des Bundesverwaltungsgerichts A-1523/2006 vom 10. Dezember 2008 E. 2.2, A-1475/2006 vom 20. November 2008 E. 2.1, A-1406/2006 vom 30. Januar 2008 E. 1.3 mit weiteren Hinweisen).</w:t>
      </w:r>
    </w:p>
    <w:p>
      <w:r>
        <w:rPr>
          <w:b/>
        </w:rPr>
        <w:t>E. 5.2</w:t>
      </w:r>
    </w:p>
    <w:p>
      <w:r>
        <w:t>Sind die Voraussetzungen einer Ermessenstaxation erfüllt, obliegt es dem Steuerpflichtigen, den Beweis für die Unrichtigkeit der Schätzung zu erbringen (Urteile des Bundesgerichts 2C_171/2008 vom 30. Juli 2008 E. 4.3, 2A.437/2005 vom 3. Mai 2006 E. 3.3). Aufgrund der Zurückhaltung bei der Überprüfung der zulässigerweise erfolgten Ermessensveranlagung (E. 5.1) nimmt das Bundesverwaltungsgericht erst dann eine Korrektur der erstinstanzlichen Schätzung vor, wenn der Mehrwertsteuerpflichtige den Nachweis dafür erbringt, dass der Vorinstanz bei der Schätzung erhebliche und offensichtliche Ermessensfehler unterlaufen sind (Urteile des Bundesverwaltungsgerichts A-1425/2006 vom 6. November 2008 E. 2, A-1527/2006 vom 6. März 2008 E. 2.4, A-1406/2006 vom 30. Januar 2008 E. 2.4, A-1531/2006 vom 10. Januar 2008 E. 2.5.2 mit weiteren Hinweisen).</w:t>
      </w:r>
    </w:p>
    <w:p>
      <w:r>
        <w:rPr>
          <w:b/>
        </w:rPr>
        <w:t>E. 6</w:t>
      </w:r>
    </w:p>
    <w:p>
      <w:r>
        <w:t>Im vorliegenden Fall schätzte die ESTV die Bareinnahmen, welche die Beschwerdeführerin aus der Veröffentlichung von Kontaktinseraten in ihrem Magazin unter den Rubriken "Meeting-Point" und "Rendez-vous" erzielte. Im angefochtenen Einspracheentscheid ging die ESTV davon aus, dass die Beschwerdeführerin vom 4. Quartal 2003 bis 2. Quartal 2004 mit beiden Rubriken je Fr. 42'000.-- Bareinnahmen erwirtschaftete, was einer Steuernachforderung von insgesamt Fr. 5'933.10 entsprach. Mit Bezug auf diese beiden Rubriken verlangt die Beschwerdeführerin eine Herabsetzung der Schätzung um Fr. 2'620.-- ("Meeting-Point") sowie Fr. 3'143.-- ("Rendez-vous"; vgl. Beschwerde, S. 8). Zunächst hat das Bundesverwaltungsgericht zu klären, ob die ESTV zu Recht eine Schätzung der Barumsätze vorgenommen hat (E. 6.1). Wird dies bejaht, ist in einem zweiten Schritt die Schätzung an sich zu überprüfen (E. 6.2 und 6.3).</w:t>
      </w:r>
    </w:p>
    <w:p>
      <w:r>
        <w:rPr>
          <w:b/>
        </w:rPr>
        <w:t>E. 6.1</w:t>
      </w:r>
    </w:p>
    <w:p>
      <w:r>
        <w:t>Das Kassabuch der Beschwerdeführerin war lückenhaft. Unbestrittenermassen wurden die Bareinnahmen aus der Weiterleitung von Antworten auf "Rendez-vous"-Inserate sowie der Platzierung von "Meeting-Point"-Inseraten nicht eingetragen. Im Weiteren fehlte im Kassabuch nachgewiesenermassen der Eintrag verschiedener Barzahlungen der Beschwerdeführerin (Fr. 4'000.-- bzw. Fr. 1'799.05 gemäss Quittungen vom 13. Februar 2004 bzw. 16. März 2004; vgl. amtl. Akten 5c und d). Sie hat somit kein ordnungsgemässes Kassabuch geführt, in dem die Bareinnahmen und Barausgaben chronologisch und zeitgerecht aufgezeichnet worden wären. Die Buchführung ist bereits deshalb schwer mangelhaft und eine Ermessenseinschätzung nach der bundesgerichtlichen Rechtsprechung gerechtfertigt (vgl. E. 2.2). Die ESTV war deshalb nicht nur berechtigt, sondern auch verpflichtet eine Schätzung der Bareinnahmen vorzunehmen.</w:t>
      </w:r>
    </w:p>
    <w:p>
      <w:r>
        <w:rPr>
          <w:b/>
        </w:rPr>
        <w:t>E. 6.2</w:t>
      </w:r>
    </w:p>
    <w:p>
      <w:r>
        <w:t>Hinsichtlich der Schätzung der Bareinnahmen aus der Veröffentlichung von "Meeting-Point"-Inseraten beantragen sowohl die Beschwerdeführerin als auch die ESTV in ihrer Vernehmlassung vom 27. August 2007 - aufgrund neu eingereichter Beweismittel - eine Herabsetzung der Nachforderung um Fr. 2'620.-- auf Fr. 346.--. Zutreffenderweise ergibt sich aus den mit der Beschwerde eingereichten Beweismitteln (Angebot der B._______ vom 27. Oktober 2003, Ausdruck Textdateien; vgl. Beschwerdebeilage Nr. 4-9), dass die Inserate der Unterrubrik "Meeting-Point mit finanziellen Interessen" inkl. der 0906-Telefonnummer durch ihren Telefoniepartner B._______ erstellt worden sind. Die Beschwerdeführerin bezweckte mit diesen offensichtlich die Erzielung von Einnahmen mittels der kostenpflichtigen Telefonnummer. Gleich wie bei der Unterrubrik "Meeting-Point ohne finanzielle Interessen" kann deshalb auch hier von gratis platzierten Inseraten ausgegangen werden. Gemäss den sich entsprechenden Anträgen der Beschwerdeführerin und der ESTV ist die diesbezügliche Schätzung deshalb um Fr. 2'620.-- auf Fr. 346.-- MWST zu korrigieren.</w:t>
      </w:r>
    </w:p>
    <w:p>
      <w:r>
        <w:rPr>
          <w:b/>
        </w:rPr>
        <w:t>E. 6.3.1</w:t>
      </w:r>
    </w:p>
    <w:p>
      <w:r>
        <w:t>Bei den rund 300 Kleininseraten der Rubrik "Rendez-vous" ist unbestritten, dass diese gratis platziert worden sind. Fraglich ist indessen, wie viele Antworten auf diese Inserate bei der Beschwerdeführerin eingegangen sind, denn sie erhob für die Weiterleitung der Antwortschreiben an die Inserenten eine Gebühr von Fr. 10.--. Diese war jeder Antwort in bar beizulegen. Die ESTV schätzte, dass pro "Rendez-vous"-Inserat zwei Antworten mit der entsprechenden Weiterleitungsgebühr eingegangen seien. Wie sie selber ausführte, lagen dieser Schätzung keine Erfahrungszahlen zu Grunde, da sie über keine solchen verfügt habe und andere Anbieter von ähnlichen Kontaktinseraten keine öffentlich zugänglichen Statistiken über das Rückmeldeverhalten ihrer Leser führten (vgl. Einspracheentscheid, Ziff. 7; Vernehmlassung, S. 8). Es sei gewiss nicht abwegig - mangels Erfahrungszahlen - davon auszugehen, dass ein geringer Teil der 300 Inserenten keine oder nur eine Antwort bekommen hätten und der grösste Teil mehrere Antworten. Die Kontrollrechnung mit den durchschnittlichen direkten Druckkosten von Fr. 9.50 pro "Rendez-vous"-Inserat, die im Minimum - für den unternehmerischen Entscheid diese Rubrik fortzuführen - gedeckt sein müssten, zeige auf, dass ihre Annahme nicht willkürlich sei.</w:t>
      </w:r>
    </w:p>
    <w:p>
      <w:r>
        <w:rPr>
          <w:b/>
        </w:rPr>
        <w:t>E. 6.3.2</w:t>
      </w:r>
    </w:p>
    <w:p>
      <w:r>
        <w:t>Die Begründung der ESTV für ihre Annahme von zwei Antworten pro Anzeige ist ungenügend. Weder legte sie ihr Erfahrungszahlen zugrunde noch lässt die durchgeführte Kontrollrechnung den Schluss auf (gerade) zwei Antworten pro Kontaktinserat zu. Im Weiteren sind die Ausführungen der ESTV, dass die Weiterleitungsgebühren zwingend die durchschnittlichen direkten Druckkosten decken müssten, vorliegend fraglich, da zumindest gemäss den Ausführungen der Beschwerdeführerin manche Leser das Magazin gerade wegen diesen Inseraten kauften. Die Annahme der ESTV ist demnach nicht genügend fundiert und muss als Behauptung qualifiziert werden. Der vorliegenden Schätzung mangelt es deshalb bereits an einer zulässigen Basis. Die ESTV hat keine der zwei möglichen Schätzungsmethoden angewandt. Sie ermittelte den fraglichen Umsatz weder mittels einer Ergänzung bzw. Rekonstruktion der ungenügenden Buchhaltung noch nahm sie eine Schätzung aufgrund unbestrittener Teil-Rechnungsergebnisse in Verbindung mit Erfahrungssätzen vor (E. 4.2).</w:t>
      </w:r>
    </w:p>
    <w:p>
      <w:r>
        <w:rPr>
          <w:b/>
        </w:rPr>
        <w:t>E. 6.3.3</w:t>
      </w:r>
    </w:p>
    <w:p>
      <w:r>
        <w:t>Der Einwand der ESTV, dass die Anbieter von ähnlichen Erotik-Kontaktinseraten keine öffentlichen Statistiken über das Feedback ihrer Leser führten, ist nicht stichhaltig. Die ESTV hat die Schätzung nach pflichtgemässem Ermessen vorzunehmen. Ein solches schliesst auch ein, dass sie in zumutbarem Rahmen Auskünfte, Nachweise und Belege bei Dritten einholt (E. 4.1 in fine). Sie muss in einem Fall wie dem vorliegenden, bei dem eine pflichtgemässe Schätzung aufgrund vorhandener Unterlagen und Erfahrungszahlen offensichtlich nicht durchgeführt werden kann, die notwendigen Auskünfte bei diesen Dritten, d.h. bei Anbieter ähnlicher Inserate, einholen (vgl. Art. 61 MWSTG). In der Folge kann sie auf der Basis der ermittelten Erfahrungszahlen eine rechtmässige Schätzung vornehmen. Im vorliegenden Fall hat die ESTV durch die unbegründete Annahme von zwei Antworten pro Inserat ihr Ermessen missbraucht. Sie hat deshalb eine neue Schätzung nach pflichtgemässem Ermessen im Sinn der obigen Erwägungen durchzuführen. Bei diesem Ergebnis erübrigt es sich, auf die weiteren Argumente der Beschwerdeführerin einzugehen.</w:t>
      </w:r>
    </w:p>
    <w:p>
      <w:r>
        <w:rPr>
          <w:b/>
        </w:rPr>
        <w:t>E. 6.4</w:t>
      </w:r>
    </w:p>
    <w:p>
      <w:r>
        <w:t>Nach dem Gesagten ist die Beschwerde im Sinn der Erwägungen gutzuheissen, der Einspracheentscheid vom 23. Mai 2007 aufzuheben und die Sache an die ESTV zur Durchführung einer neuen Schätzung der Bareinnahmen aus den "Rendez-vous"-Inseraten zurückzuweisen.</w:t>
      </w:r>
    </w:p>
    <w:p>
      <w:r>
        <w:rPr>
          <w:b/>
        </w:rPr>
        <w:t>E. 7.1</w:t>
      </w:r>
    </w:p>
    <w:p>
      <w:r>
        <w:t>Gemäss Art. 63 Abs. 1 VwVG sind die Verfahrenskosten in der Regel der unterliegenden Partei aufzuerlegen. Keine Verfahrenskosten werden Vorinstanzen auferlegt (Art. 63 Abs. 2 VwVG). Nach Art. 63 Abs. 3 VwVG dürfen einer obsiegenden Partei die Kosten des Beschwerdeverfahrens auferlegt werden, sofern sie diese durch Verletzung von Verfahrenspflichten verursacht hat. Dies ist insbesondere dann der Fall, wenn der Beschwerdeführer das Beschwerdeverfahren durch Verletzung von Mitwirkungspflichten unnötigerweise verursacht hat, indem er beispielsweise Beweismittel spät eingereicht hat (Urteile des Bundesverwaltungsgerichts A-2036/2007 vom 29. Oktober 2008, A-1418/2006 vom 14. Mai 2008 E. 10.2, A-1527/2006 und A-1528/2006 vom 6. März 2008 E. 6.2, A-1389/2006 vom 21. Januar 2008 E. 7.2; MOSER/BEUSCH/KNEUBÜHLER, a.a.O., Rz. 4.52).</w:t>
      </w:r>
    </w:p>
    <w:p>
      <w:r>
        <w:rPr>
          <w:b/>
        </w:rPr>
        <w:t>E. 7.2</w:t>
      </w:r>
    </w:p>
    <w:p>
      <w:r>
        <w:t>Die Beschwerdeführerin reichte erst im vorliegenden Beschwerdeverfahren Unterlagen ein (vgl. Beschwerdebeilagen Nr. 4-9), woraus ersichtlich wurde, dass es bei den Inseraten der Unterrubrik "Meeting-Point mit finanziellen Interessen" inkl. einer 0906 Telefonnummer einzig um die Erzielung von Einnahmen aus den Anrufen über die kostenpflichtige Telefonnummer ging. Aufgrund des späten Einreichens der notwendigen Beweismittel, ist der Beschwerdeführerin eine Pflichtverletzung zum Vorwurf zu machen. Diese Unterlagen hätte sie bereits im Verfahren vor der Vorinstanz vorlegen können. Unter diesen Umständen ist das von ihr vor dem Bundesverwaltungsgericht angestrengte Verfahren zur Herabsetzung der Schätzung mit Bezug auf die "Meeting-Point"-Inserate als von ihr unnötig verursacht zu bezeichnen. Trotz der Gutheissung der Beschwerde ist es folglich gerechtfertigt, ihr insoweit die Verfahrenskosten, die auf Fr. 1'200.-- festgelegt werden (Art. 4 des Reglements vom 21. Februar 2008 über die Kosten und Entschädigungen vor dem Bundesverwaltungsgericht [VGKE, SR 173.320.2]), im Verhältnis zum Gesamtstreitwert (Fr. 2'620.--/ Fr. 5'763.--) aufzuerlegen, ausmachend rund Fr. 550.--, und mit dem geleisteten Kostenvorschuss von Fr. 1'200.-- zu verrechnen. Der Überschuss von Fr. 650.-- ist nach Eintritt der Rechtskraft dieses Entscheids an die Beschwerdeführerin zurückzuerstatten. Die ESTV hat der Beschwerdeführerin eine - aus dem gleichen Grund - reduzierte Parteientschädigung, die auf Fr. 2'000.-- (inkl. Mehrwertsteuer) festgesetzt wird, auszurichten (Art. 64 Abs. 1 VwVG i.V.m. Art. 7 bis 9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