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A-4355/2007 vom 20. November 2009</w:t>
      </w:r>
    </w:p>
    <w:p>
      <w:r>
        <w:t>Bundesverwaltungsgericht, 2009-11-20, DE</w:t>
      </w:r>
    </w:p>
    <w:p>
      <w:r>
        <w:rPr>
          <w:b/>
        </w:rPr>
        <w:t xml:space="preserve">Quelle: </w:t>
      </w:r>
      <w:r>
        <w:t>https://mcp.opencaselaw.ch/entscheid/bvger_A-4355_2007</w:t>
      </w:r>
    </w:p>
    <w:p>
      <w:r>
        <w:t>FR: TAF A-4355/2007 du 20 novembre 2009</w:t>
      </w:r>
    </w:p>
    <w:p>
      <w:r>
        <w:t>IT: TAF A-4355/2007 del 20 novembre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 Soweit das VGG nichts anderes bestimmt, richtet sich gemäss dessen Art. 37 das Verfahren nach dem VwVG. Der Beschwerdeführerin ist zuzustimmen, dass die mit der Beschwerde eingereichte Originalvollmacht der A._______SA an B._______ auch den Auftrag von letzterem an Rechtsanwalt (...) zur Vertretung im vorliegenden Beschwerdeverfahren deckt. Auf die frist- und formgereicht eingereichte Beschwerde ist somit einzutreten.</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Rz. 2.149 ff.; ULRICH HÄFELIN/GEORG MÜLLER/FELIX UHLMANN, Allgemeines Verwaltungsrecht, 5. Aufl., Zürich 2006, Rz. 1758 ff.).</w:t>
      </w:r>
    </w:p>
    <w:p>
      <w:r>
        <w:rPr>
          <w:b/>
        </w:rPr>
        <w:t>E. 2.1</w:t>
      </w:r>
    </w:p>
    <w:p>
      <w:r>
        <w:t>Der Mehrwertsteuer unterliegen u.a. im Inland gegen Entgelt erbrachte Lieferungen von Gegenständen sowie im Inland gegen Entgelt erbrachte Dienstleistungen (Art. 5 Bst. a und b MWSTG). Eine Lieferung liegt vor, wenn die Befähigung verschafft wird, im eigenen Namen über einen Gegenstand wirtschaftlich zu verfügen. Eine solche ist ebenfalls gegeben, wenn der Gegenstand zum Gebrauch oder zur Nutzung überlassen wird (Art. 6 Abs. 1 und 2 Bst. b MWSTG). Als Dienstleistung gilt jede Leistung, die keine Lieferung eines Gegenstandes ist (Art. 7 Abs. 1 MWSTG; statt vieler: Urteile des Bundesverwaltungsgerichts A-1536/2006 und A-1537/2006 vom 16. Juni 2008 E. 2.2, A-1538/2006 vom 28. Mai 2008 E. 2.1 mit weiteren Hinweisen).</w:t>
      </w:r>
    </w:p>
    <w:p>
      <w:r>
        <w:rPr>
          <w:b/>
        </w:rPr>
        <w:t>E. 2.2.1</w:t>
      </w:r>
    </w:p>
    <w:p>
      <w:r>
        <w:t>Verwendet der Steuerpflichtige Gegenstände oder Dienstleistungen für steuerbare Ausgangsleistungen, so kann er in seiner Steuerabrechnung die auf seinen Eingangsleistungen lastende Steuer als Vorsteuer abziehen (Art. 38 Abs. 1 und 2 MWSTG).</w:t>
      </w:r>
    </w:p>
    <w:p>
      <w:r>
        <w:rPr>
          <w:b/>
        </w:rPr>
        <w:t>E. 2.2.2</w:t>
      </w:r>
    </w:p>
    <w:p>
      <w:r>
        <w:t>Der Bundesrat ist zuständig zu bestimmen, unter welchen Voraussetzungen den Abnehmern mit Wohn- oder Geschäftssitz im Ausland die Steuer auf den an sie im Inland ausgeführten Lieferungen oder Dienstleistungen bei Gewährung des Gegenrechts durch das Land ihres Wohn- oder Geschäftssitzes vergütet werden kann (Art. 90 Abs. 2 Bst. b MWSTG). Er hat die kumulativen Voraussetzungen für eine solche Steuervergütung in Art. 28 ff. MWSTGV geregelt (Urteil des Bundesgerichts 2C_410/2008 vom 28. Oktober 2008 E. 3.1). Danach ist anspruchsberechtigt auf Steuervergütung, wer Gegenstände einführt oder sich im Inland Leistungen der in Art. 6 und 7 MWSTG genannten Arten gegen Entgelt erbringen lässt und zudem: a) Wohn- oder Geschäftssitz im Ausland hat, wobei der Ort, an welchem eine Betriebsstätte geführt wird, einem Geschäftssitz gleichgestellt ist; b) im Inland keine Gegenstände liefert oder grundsätzlich im Inland keine Dienstleistungen erbringt; c) im Land seines Wohn- oder Geschäftssitzes seine Unternehmereigenschaft nachweist (Art. 28 Abs. 1 MWSTGV). Die bezahlte Steuer wird vergütet, sofern die bezogenen Leistungen der Erzielung von Umsätzen dienen, die in der Schweiz von Gesetzes wegen der Mehrwertsteuer unterliegen würden oder für welche eine Steuerbefreiung nach Art. 19 MWSTG zur Anwendung käme. Dienen die bezogenen Gegenstände und Dienstleistungen sowohl der Erzielung steuerbarer Umsätze als auch anderen Zwecken, so ist die Vergütung nach dem Verhältnis der Verwendung zu kürzen. Für Leistungen, die nicht für einen geschäftlich begründeten Zweck im Sinn des Art. 38 Abs. 2 MWSTG verwendet werden, besteht kein Vergütungsanspruch (Art. 29 Abs. 1-3 MWSTGV; Urteile des Bundesverwaltungsgerichts A-6971/2008 vom 8. Juni 2009 E. 2.2.2, A-1667/2006 vom 23. Juni 2008 E. 2.4, A-1359/2006 vom 26. Juli 2007 E. 3.3).</w:t>
      </w:r>
    </w:p>
    <w:p>
      <w:r>
        <w:rPr>
          <w:b/>
        </w:rPr>
        <w:t>E. 2.2.3</w:t>
      </w:r>
    </w:p>
    <w:p>
      <w:r>
        <w:t>Die Anträge auf Steuervergütung sind mit den notwendigen Unterlagen nach Art. 37 MWSTG an die ESTV zu richten (Art. 31 Abs. 1 MWSTGV). Nach der Praxis der ESTV muss das Gesuch um Steuervergütung auf den offiziell von ihr herausgegebenen Formularen (Formular 1222 und 1223, gegebenenfalls 1225) eingereicht werden. Die Verwendung von anderen Formularen, insbesondere Eigenkreationen oder EU-Formulare, ist grundsätzlich nicht erlaubt (Merkblatt Nr. 19 der ESTV, Vergütung der Mehrwertsteuer an Abnehmer mit Wohn- oder Geschäftssitz im Ausland, 2001, Ziff. 1.3). Der Gesuchsteller hat einen Vertreter mit Wohn- oder Geschäftssitz in der Schweiz zu bestellen (Art. 31 Abs. 2 MWSTGV). Es kann dies eine natürliche oder juristische Person sein. Der Vertreter hat sich durch schriftliche Vollmacht auszuweisen (vgl. Merkblatt Nr. 19, a.a.O., Ziff. 1.5). Im Formular Nr. 1222 "Antrag auf Vergütung der Mehrwertsteuer nach Art. 90 Abs. 2 Bst. b MWSTG" hat in Ziff. 1 das ausländische Unternehmen einen Vertreter in der Schweiz zur Vertretung gegenüber der ESTV zu bezeichnen. Im Weiteren hat das ausländische Unternehmen in Ziff. 1 des Formulars zu bestätigen, dass es im Zeitraum des Antrags im Inland keine Gegenstände geliefert oder Dienstleistungen erbracht hat. Es ist ein Firmenstempel und eine rechtsverbindliche Unterschrift des ausländischen Unternehmens anzubringen (vgl. Formular Nr. 1222 der ESTV).</w:t>
      </w:r>
    </w:p>
    <w:p>
      <w:r>
        <w:rPr>
          <w:b/>
        </w:rPr>
        <w:t>E. 3.1</w:t>
      </w:r>
    </w:p>
    <w:p>
      <w:r>
        <w:t>Die Bundesverfassung gewährleistet das Recht auf Vertretung als Teilgehalt des Anspruchs auf rechtliches Gehör (Art. 29 Abs. 2 BV; (HÄFELIN/MÜLLER/UHLMANN, a.a.O., Rz. 1704 mit Hinweisen). Die Zulässigkeit einer vertraglichen Vertretung des Steuersubjekts im Veranlagungsverfahren ist folglich zu bejahen, unbekümmert darum, ob sie im Steuergesetz ausdrücklich erwähnt wird oder nicht. Für Bundessteuern gilt allgemein Art. 11 VwVG (Ernst Blumenstein/Peter Locher, System des schweizerischen Steuerrechts, 6. Aufl., Zürich 2002, S. 398). Nach Absatz 1 von Art. 11 VwVG kann die Partei sich auf jeder Stufe des Verfahrens, wenn sie nicht persönlich zu handeln hat, vertreten lassen. Die Behörde kann den Vertreter auffordern, sich durch schriftliche Vollmacht auszuweisen (Art. 11 Abs. 2 VwVG). Solange die Partei die Vollmacht nicht widerruft, macht die Behörde ihre Mitteilungen an den Vertreter (Art. 11 Abs. 3 VwVG). Die gewillkürte Vertretung einer Partei durch einen frei bestimmten Dritten ist somit unter Vorbehalt des persönlichen Handelns (vgl. nachfolgend E. 3.2) jederzeit möglich. Die Rechtsbeziehungen zwischen dem gewillkürten Vertreter und dem Vertretenen werden grundsätzlich vom Privatrecht bestimmt. Die Bestellung eines Vertreters erfolgt durch dessen Bevollmächtigung. Dabei handelt es sich um ein einseitiges empfangsbedürftiges Rechtsgeschäft, das dem Vertreter die Befugnis verschafft, den Vertretenen Dritten gegenüber zu vertreten. Die Wirkungen der Vertretung bestehen darin, dass die vom Vertreter im Namen der vertretenen Partei vorgenommenen Handlungen oder Unterlassungen unmittelbar für oder gegen die vertretene Partei gelten, wie wenn sie selbst gehandelt hätte. Kenntnisse des Vertreters gelten als der vertretenen Partei bekannt bzw. werden ihr zugerechnet, soweit die Vollmacht reicht (Urteil des Bundesgerichts 4C.332/2005 vom 27. Januar 2006 E. 3.3; BGE 73 II 6 E. 5; zum Ganzen: RES NYFFENEGGER, in Auer/Müller/Schindler [Hrsg.], Kommentar zum VwVG, Zürich/St. Gallen 2008, Rz. 6 ff. zu Art. 11). Die Handlungen des Vertreters gelten als solche des Vertretenen, und dieser ist dafür grundsätzlich auch strafrechtlich verantwortlich, unter Vorbehalt einer eigenen strafrechtlichen Verantwortlichkeit des Vertreters (BLUMENSTEIN/LOCHER, a.a.O., S. 399; vgl. auch Urteil des Bundesgerichts vom 21. Mai 1990, veröffentlicht in Archiv für Schweizerisches Abgaberecht [ASA] 60 S. 261). Beauftragt die Steuerpflichtige einen Vertreter, hat sie für das Verhalten dieser Hilfsperson (vgl. Art. 101 des Obligationenrechts vom 30. März 1911 [OR, SR 220]) somit umfassend und wie für ihr eigenes einzustehen. Auch allfälliges fehlerhaftes bzw. schuldhaftes Verhalten der Hilfsperson ist der Steuerpflichtigen anzurechnen (Urteile des Bundesverwaltungsgerichts A-1635/2006 vom 27. August 2008 E. 5.2, A-1680/2006 vom 26. November 2007 E. 3.2.1; BGE 114 Ib 67 E. 2c-e, 107 Ia 168 E. 2). Das Bestehen des Vertretungsverhältnisses muss der Steuerbehörde kundgegeben werden, damit es dieser gegenüber wirksam wird (MARTIN ZWEIFEL/HUGO CASANOVA, Schweizerisches Steuerverfahrensrecht, Zürich/Basel/Genf 2008, § 7 Rz. 5). Die Beweislast dafür, dass ein Vertretungsverhältnis besteht und gegenüber den Steuerbehörden auch gehörig kundgegeben worden ist, obliegt dem Steuerpflichtigen (Urteil des Bundesgerichts vom 21. Mai 1997, veröffentlich in ASA 66 S. 395). Der Umfang der Vertretungsbefugnis richtet sich nach der vom Steuerpflichtigen erteilten Vollmacht. Die Befugnis kann allgemein und ohne zeitliche Begrenzung die Vertretung des Steuerpflichtigen in Steuersachen umfassen. Sie kann aber auch auf eine bestimmte Steuerperiode, eine bestimmte Steuer oder ein bestimmtes Verfahren beschränkt sein (ZWEIFEL/CASANOVA, a.a.O., § 7 Rz. 7). Das Vertretungsverhältnis zeitigt im Verfahren seine Wirkungen von dem Zeitpunkt an, in dem die Bevollmächtigung für die Behörde ersichtlich wird, bis hin zum Zeitpunkt, in dem das Erlöschen dieses Verhältnisses der Behörde erkennbar ist (vgl. BGE 99 V 177 E. 3). Wird die Ermächtigung durch den Steuerpflichtigen in einer Rubrik der Steuererklärung erteilt, so ist anzunehmen, dass die Vollmacht nur für die betreffende Steuerperiode gilt (ZWEIFEL/CASANOVA, a.a.O., § 7 Rz. 14).</w:t>
      </w:r>
    </w:p>
    <w:p>
      <w:r>
        <w:rPr>
          <w:b/>
        </w:rPr>
        <w:t>E. 3.2</w:t>
      </w:r>
    </w:p>
    <w:p>
      <w:r>
        <w:t>Das verfassungsmässige Recht auf Vertretung (Art. 29 Abs. 2 BV) gilt nicht absolut. Eine Einschränkung ist unter Wahrung der Verhältnismässigkeit zulässig, wenn sachliche Gründe es rechtfertigen (NYFFENEGGER, a.a.O., Rz. 3 zu Art. 11 VwVG; ZWEIFEL/CASANOVA, a.a.O., S. 47 FN 233). So sind Verfahrenshandlungen von der Möglichkeit der Vertretung ausgenommen, die eine persönliche Mitwirkung des Steuerpflichtigen erfordern, entweder weil es gesetzlich vorgeschrieben ist (vgl. diesbezüglich die Pflicht zur persönlichen Unterzeichnung der Steuererklärung nach Art. 124 Abs. 2 des Bundesgesetzes vom 14. Dezember 1990 über die direkte Bundessteuer [DBG, SR 642.11]) oder die der Natur der Sache nach nur von ihm ausgehen können, wie namentlich die Teilnahme an einer persönlichen Einvernahme (BLUMENSTEIN/LOCHER, a.a.O., S. 398). Würde durch das Handeln eines Vertreters der Zweck der Handlung, etwa durch persönliche Befragung einen unmittelbaren Eindruck von der Partei zu gewinnen, vereitelt, ist Vertretung unzulässig (NYFFENEGGER, a.a.O., Rz. 10 zu Art. 11 VwVG).</w:t>
      </w:r>
    </w:p>
    <w:p>
      <w:r>
        <w:rPr>
          <w:b/>
        </w:rPr>
        <w:t>E. 4.1</w:t>
      </w:r>
    </w:p>
    <w:p>
      <w:r>
        <w:t>Verwaltungsverordnungen (Merkblätter, Richtlinien, Kreisschreiben etc.) sind Meinungsäusserungen der Verwaltung über die Auslegung der anwendbaren Gesetzesbestimmungen. Sie dienen der Sicherstellung einer einheitlichen, gleichmässigen und sachrichtigen Praxis des Gesetzesvollzugs (BVGE 2007/41 E. 4.1; MICHAEL BEUSCH, Was Kreisschreiben dürfen und was nicht, in: Der Schweizer Treuhänder [ST]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ad Art. 102 Rz. 15 ff.). Nicht verbindlich sind Verwaltungsverordnungen, welche keine von der gesetzlichen Ordnung abweichenden Bestimmungen enthalten dürfen, dagegen für die Justizbehörden, deren Aufgabe es ist, die Einhaltung von Verfassung und Gesetz im Einzelfall zu überprüfen (MOSER/BEUSCH/KNEUBÜHLER, a.a.O., Rz. 2.173 f.).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zuständigen Behörde zu setzen (zum Ganzen statt vieler: BGE 126 II 275 E. 4, BGE 123 II 16 E. 7a; BVGE 2007/41 E. 3.3, Entscheid der Eidgenössischen Steuerrekurskommission [SRK] vom 28. Juni 2005, veröffentlicht in Verwaltungspraxis der Bundesbehörden [VPB] 69.125 E. 3b mit Hinweisen). Von selbst versteht sich angesichts der herausragenden Bedeutung, welche dem Legalitätsprinzip im Schweizer Steuerrecht zukommt, bei alledem, dass eine Verwaltungsverordnung oder gar eine blosse nicht schriftlich festgehaltene Praxis unter keinen Umständen alleinige Grundlage für die wie auch immer ausgestaltete steuerliche Erfassung eines Sachverhalts darstellen kann (BVGE 2007/41 E. 4.1; Urteile des Bundesverwaltungsgerichts A-1552/2006 vom 22. Juni 2009 E. 2.3, A-1592/2006 vom 15. April 2009 E. 2.3).</w:t>
      </w:r>
    </w:p>
    <w:p>
      <w:r>
        <w:rPr>
          <w:b/>
        </w:rPr>
        <w:t>E. 4.2</w:t>
      </w:r>
    </w:p>
    <w:p>
      <w:r>
        <w:t>Am 1. Juli 2006 ist Art. 45a MWSTGV in Kraft getreten. Diese Bestimmung bezieht sich nach dem klaren Wortlaut einzig auf Formmängel. Formvorschriften in Gesetz, Verordnungen und gemäss Verwaltungspraxis sollen nicht überspitzt formalistisch, sondern pragmatisch angewendet werden. Der "Pragmatismusartikel" bezweckt die Vermeidung von Steuernachbelastungen infolge Nichteinhalten von Formvorschriften (Urteil des Bundesverwaltungsgerichts A-1352/2006 vom 25. April 2007 E. 6.1; Praxismitteilung vom 27. Oktober 2006 S. 1; Pressemitteilung des EFD vom 24. Mai 2006). Die Verwaltungspraxis der ESTV - auch die formellen Regelungen - werden durch Art. 45a MWSTGV nicht aufgehoben, sondern bleiben bestehen und gültig und sind grundsätzlich von den Steuerpflichtigen zu beachten. Sie sollen aber auf Grund der Anweisungen des Bundesrats in Art. 45a MWSTGV pragmatisch anwendet werden. Zusätzliche Voraussetzung, damit von einer Steuerforderung abgesehen werden kann, ist gemäss Art. 45a MWSTGV stets, dass dem Bund aus der Nichtbeachtung der Form kein Steuerausfall entstanden ist. Die ESTV trägt diesen Verwaltungsanweisungen nicht nur inskünftig, sondern auch rückwirkend Rechnung. Die rückwirkende Anwendung von Art. 45a MWSTGV wurde durch die Rechtsprechung bestätigt (Urteile des Bundesverwaltungsgerichts A-1475/2006 vom 20. November 2008 E. 4.6, A-1352/2006 vom 25. April 2007 E. 4.2). Im Weiteren ist Art. 45a MWSTGV auch im Vergütungsverfahren nach Art. 90 Abs. 2 Bst. b MWSTG anwendbar (vgl. Urteil des Bundesverwaltungsgerichts A-1365/2006 vom 19. März 2007 E. 2.3; MARKUS METZGER/MARIETTE VRANKEN, Rückerstattung und Formalismus, veröffentlicht in Steuer Revue Nr. 7-8/2007, S. 574 ff.).</w:t>
      </w:r>
    </w:p>
    <w:p>
      <w:r>
        <w:rPr>
          <w:b/>
        </w:rPr>
        <w:t>E. 4.3</w:t>
      </w:r>
    </w:p>
    <w:p>
      <w:r>
        <w:t>Überspitzter Formalismus ist eine besondere Form der Rechtsverweigerung im Sinn von Art. 29 Abs. 1 BV.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Bürgerinnen und Bürgern dadurch den Rechtsweg in unzulässiger Weise versperrt (BGE 135 I 6 E. 2.1, 132 I 249 E. 5, 130 V 177 E. 5.4.1). Allerdings ist die Wahrung gewisser Formen für einen geordneten Verfahrensablauf unerlässlich und dient der Verwirklichung des materiellen Rechts sowie dem Schutz der Rechte der Parteien. Demnach steht nicht jede prozessuale Formstrenge mit Art. 29 Abs. 1 BV in Widerspruch, sondern nur eine solche, die als exzessiv erscheint, durch kein schutzwürdiges Interesse gerechtfertigt ist, zum blossen Selbstzweck wird und die Verwirklichung des materiellen Rechts in unhaltbarer Weise erschwert oder gar verhindert (BGE 130 V 177 E. 5.4.1; zum Ganzen: MOSER/BEUSCH/KNEUBÜHLER, a.a.O., Rz. 3.115).</w:t>
      </w:r>
    </w:p>
    <w:p>
      <w:r>
        <w:rPr>
          <w:b/>
        </w:rPr>
        <w:t>E. 5</w:t>
      </w:r>
    </w:p>
    <w:p>
      <w:r>
        <w:t>Im vorliegenden Fall ist umstritten, ob die ESTV zu Recht den Antrag auf Vergütung der Mehrwertsteuer für das Jahr 2003 abgelehnt hat, da die Beschwerdeführerin ihre Vollmacht nicht auf dem entsprechenden Formular Nr. 1222 erteilt (E. 5.1) und sie zudem nicht selber bestätigt hat (sondern durch ihren Vertreter bestätigen liess), dass sie in der Schweiz im Jahr 2003 keine Lieferungen und Leistungen erbracht hat (E. 5.2).</w:t>
      </w:r>
    </w:p>
    <w:p>
      <w:r>
        <w:rPr>
          <w:b/>
        </w:rPr>
        <w:t>E. 5.1</w:t>
      </w:r>
    </w:p>
    <w:p>
      <w:r>
        <w:t>Die ESTV akzeptierte die von der Beschwerdeführerin eingereichte Vollmacht vom 27. März 2003 nicht, in der die Beschwerdeführerin B._______ zur Vertretung bevollmächtigt hatte. Die ESTV stellt sich auf den Standpunkt die Bevollmächtigung bei der Steuervergütung habe ausschliesslich mittels des offiziellen Formulars Nr. 1222, das eine entsprechende Rubrik in Ziff 1 enthält, zu erfolgen. Unbestritten ist, dass die Vollmacht vom 27. März 2003 vom einzelzeichnungsberechtigten Direktor der Beschwerdeführerin, (...), unterschrieben worden ist und sie B._______ als Vertreter insbesondere vor der ESTV bezeichnet. Im Weiteren wurde die Vollmacht zeitlich unbefristet erteilt (vgl. Beschwerdebeilage Nr. 4) und der ESTV kundgetan. Das Bundesverwaltungsgericht erachtet es als überspitzt formalistisch, diese Vollmacht nicht zu akzeptieren und eine Vollmachtserteilung in Ziff 1 des Formulars Nr. 1222 zu verlangen. Eine solche rigorose Formvorschrift ist sachlich nicht gerechtfertigt. Es besteht kein Grund, wieso die Vollmachtserteilung nicht auf einer Beilage zum Antragsformular erfolgen darf. Massgebend ist, ob die Vollmacht materiell genügend ist, was vorliegend unbestrittenermassen der Fall ist. Dies muss umso mehr gelten, als das von der ESTV verlangte Erfordernis, ein bestimmtes Formular für die Vollmachtserteilung zu verwenden, eine blosse Formvorschrift der Verwaltungspraxis darstellt, die von Art. 45a MWSTGV erfasst werden kann (E. 4.2). Da Art. 45a MWSTGV auch im Vergütungsverfahren anwendbar ist (E. 4.2 in fine), dürfen Steuervergütungen nicht aufgrund von blossen Formfehlern verweigert werden, wenn der Vergütungsanspruch materiell gerechtfertigt ist. Die Berücksichtigung von Art. 45a MWSTGV hat zur Folge, dass der Nachweis der Bevollmächtigung auch auf anderem Weg als mittels des Formulars Nr. 1222 erbracht werden kann. Auch aus diesem Grund ist das Erfordernis der ESTV, die Vollmachtserteilung nur mittels des Formulars Nr. 1222 zu akzeptieren, nicht gerechtfertigt. Den entsprechenden Nachweis der Vollmachtserteilung hat die Beschwerdeführerin mit ihrer Vollmacht vom 27. März 2003 erbracht. Im Übrigen ist nicht einzusehen, weshalb die ESTV ihre Praxis für das Jahr 2003 offensichtlich änderte, nachdem sie betreffend das Vergütungsjahr 2002 einen Verweis auf eine beiliegende Vollmacht im Antragsformular akzeptierte und dies ebenfalls für das Jahr 2004 als genügend erachtete. Falsch ist im Weiteren die Ansicht der ESTV, eine Vollmacht müsse jedes Jahr erneuert werden. Eine Vollmacht, die ohne zeitliche Begrenzung erteilt wird, ist bis zum Zeitpunkt gültig, in dem sie gegenüber der entsprechenden Behörde widerrufen wird bzw. für diese das Erlöschen des Vertretungsverhältnisses erkennbar ist (E. 3.1). B._______ war somit ordentlich bevollmächtigt, für die Beschwerdeführerin den Vergütungsantrag für das Jahr 2003 zu stellen.</w:t>
      </w:r>
    </w:p>
    <w:p>
      <w:r>
        <w:rPr>
          <w:b/>
        </w:rPr>
        <w:t>E. 5.2</w:t>
      </w:r>
    </w:p>
    <w:p>
      <w:r>
        <w:t>Die ESTV stellt sich auf den Standpunkt, die Antragstellerin habe in der entsprechenden Rubrik des Formulars Nr. 1222 selber und nicht durch ihren Vertreter zu bestätigen, dass sie im betreffenden Jahr keine Leistungen im Inland erbracht hat. Dieses Erfordernis verstösst gegen das verfassungsmässige Recht auf Vertretung (E. 3.2). Weder ist vorliegend eine Einschränkung gesetzlich vorgesehen noch verlangt die Natur der Sache (wie z.B. bei einer Einvernahme) die persönliche Mitwirkung der Antragsstellerin. Die Bestätigung des Vertreters, dass die Antragstellerin keine Leistungen im Inland erbracht habe, wird dieser zugerechnet. Sie hat für das Verhalten ihres Vertreters umfassend und wie für ihr eigenes einzustehen (E. 3.1). Es bestehen deshalb keine sachlichen Gründe für die Forderung der ESTV, dass die Antragstellerin die Bestätigung selber zu unterzeichnen habe.</w:t>
      </w:r>
    </w:p>
    <w:p>
      <w:r>
        <w:rPr>
          <w:b/>
        </w:rPr>
        <w:t>E. 5.3</w:t>
      </w:r>
    </w:p>
    <w:p>
      <w:r>
        <w:t>Zusammenfassend hat die ESTV zu Unrecht die eingereichte Vollmacht der Antragstellerin vom 27. März 2003 sowie die durch ihren Vertreter unterzeichnete Bestätigung, dass sie im Jahr 2003 keine Leistungen im Inland erbracht habe, nicht akzeptiert. Die ESTV hat deshalb den Antrag materiell zu behandeln, was sie sowohl auf Stufe Erstentscheid wie auch im Einspracheverfahren nicht getan hat. Die Sache ist deshalb an die ESTV zurückzuweisen. Der Beschwerdeführerin steht gegen einen abschlägigen Einspracheentscheid selbstverständlich wiederum der Beschwerdeweg an das Bundesverwaltungsgericht offen.</w:t>
      </w:r>
    </w:p>
    <w:p>
      <w:r>
        <w:rPr>
          <w:b/>
        </w:rPr>
        <w:t>E. 5.4</w:t>
      </w:r>
    </w:p>
    <w:p>
      <w:r>
        <w:t>Dem Gesagten zufolge ist der Eventualantrag der Beschwerdeführerin auf Rückweisung der Sache an die Vorinstanz gutzuheissen, im Übrigen ist die Beschwerde abzuweisen. Bei diesem Ausgang des Verfahrens werden die Verfahrenskosten, die auf Fr. 3'000.-- festgelegt werden (Art. 4 des Reglements vom 21. Februar 2008 über die Kosten und Entschädigungen vor dem Bundesverwaltungsgericht [VGKE, SR 173.320.2]), der nur teilweise unterlegenen Beschwerdeführerin gemäss Art. 63 Abs. 1 VwVG im Umfang von Fr. 1'000.-- auferlegt. Der Vorinstanz können keine Verfahrenskosten auferlegt werden (Art. 63 Abs. 2 VwVG). Die ESTV hat der teilweise obsiegenden Beschwerdeführerin eine reduzierte Parteientschädigung auszurichten (Art. 64 Abs. 1 VwVG i.V.m. Art. 7 bis 9 VGKE). Angesichts des Umfangs der Eingabe der Beschwerdeführerin zu den rechtserheblichen Fragen, deren Schwierigkeit und unter Berücksichtigung der bloss teilweisen Gutheissung der Beschwerde wird die Parteientschädigung ermessensweise auf Fr. 3'000.-- (inkl.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