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A-4323/2016 vom 24. August 2016</w:t>
      </w:r>
    </w:p>
    <w:p>
      <w:r>
        <w:t>Bundesverwaltungsgericht, 2016-08-24, DE</w:t>
      </w:r>
    </w:p>
    <w:p>
      <w:r>
        <w:rPr>
          <w:b/>
        </w:rPr>
        <w:t xml:space="preserve">Quelle: </w:t>
      </w:r>
      <w:r>
        <w:t>https://mcp.opencaselaw.ch/entscheid/bvger_A-4323_2016</w:t>
      </w:r>
    </w:p>
    <w:p>
      <w:r>
        <w:t>FR: TAF A-4323/2016 du 24 août 2016</w:t>
      </w:r>
    </w:p>
    <w:p>
      <w:r>
        <w:t>IT: TAF A-4323/2016 del 24 agosto 2016</w:t>
      </w:r>
    </w:p>
    <w:p>
      <w:pPr>
        <w:pStyle w:val="Heading2"/>
      </w:pPr>
      <w:r>
        <w:t>Regeste</w:t>
      </w:r>
    </w:p>
    <w:p>
      <w:r>
        <w:t>Staatshaftung (Bund)</w:t>
      </w:r>
    </w:p>
    <w:p>
      <w:pPr>
        <w:pStyle w:val="Heading2"/>
      </w:pPr>
      <w:r>
        <w:t>Erwägungen</w:t>
      </w:r>
    </w:p>
    <w:p>
      <w:r>
        <w:rPr>
          <w:b/>
        </w:rPr>
        <w:t>E. 1</w:t>
      </w:r>
    </w:p>
    <w:p>
      <w:r>
        <w:t>Die Beschwerde wird abgewiesen.</w:t>
      </w:r>
    </w:p>
    <w:p>
      <w:r>
        <w:rPr>
          <w:b/>
        </w:rPr>
        <w:t>E. 2</w:t>
      </w:r>
    </w:p>
    <w:p>
      <w:r>
        <w:t>Das Gesuch um unentgeltliche Prozessführung wird als gegenstandslos abgeschrieben.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 Gerichtsurkunde) Für die Rechtsmittelbelehrung wird auf die nächste Seite verwiesen. Der vorsitzende Richter: Der Gerichtsschreiber: Jürg Steiger Matthias Stoffel Rechtsmittelbelehrung: Entscheide des Bundesverwaltungsgerichts auf dem Gebiet der Staatshaftung können beim Bundesgericht angefochten werden, wenn der Streitwert mindestens Fr. 30'000.- beträgt oder wenn sich eine Rechtsfrage von grundsätzlicher Bedeutung stellt (Art. 85 Abs. 1 Bst. a und Abs. 2 BGG). Steht die Beschwerde in öffentlich-rechtlichen Angelegenheiten offen, kann sie innert 30 Tagen nach Eröffnung dieses Entscheides beim Bundesgericht, 1000 Lausanne 14,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