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A-4318/2020 vom 21. September 2020</w:t>
      </w:r>
    </w:p>
    <w:p>
      <w:r>
        <w:t>Bundesverwaltungsgericht, 2020-09-21, DE</w:t>
      </w:r>
    </w:p>
    <w:p>
      <w:r>
        <w:rPr>
          <w:b/>
        </w:rPr>
        <w:t xml:space="preserve">Quelle: </w:t>
      </w:r>
      <w:r>
        <w:t>https://mcp.opencaselaw.ch/entscheid/bvger_A-4318_2020</w:t>
      </w:r>
    </w:p>
    <w:p>
      <w:r>
        <w:t>FR: TAF A-4318/2020 du 21 septembre 2020</w:t>
      </w:r>
    </w:p>
    <w:p>
      <w:r>
        <w:t>IT: TAF A-4318/2020 del 21 settembre 2020</w:t>
      </w:r>
    </w:p>
    <w:p>
      <w:pPr>
        <w:pStyle w:val="Heading2"/>
      </w:pPr>
      <w:r>
        <w:t>Regeste</w:t>
      </w:r>
    </w:p>
    <w:p>
      <w:r>
        <w:t>Nationalstrassen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die Kosten für das vorangegangene Verfahren vor Bundesverwaltungsgericht (A-2587/2018) neu zu verlegen.</w:t>
      </w:r>
    </w:p>
    <w:p>
      <w:r>
        <w:rPr>
          <w:b/>
        </w:rPr>
        <w:t>E. 2.1</w:t>
      </w:r>
    </w:p>
    <w:p>
      <w:r>
        <w:t>Das Bundesverwaltungsgericht auferlegt die Verfahrenskosten in der Regel der unterliegenden Partei (Art. 63 Abs. 1 VwVG). Keine Verfahrenskosten zu tragen haben Vorinstanzen sowie beschwerdeführende und unterliegende Bundesbehörden. Anderen Behörden sowie Kantonen und Gemeinden, die Beschwerde führen und unterliegen, werden Verfahrenskosten auferlegt, wenn sich der Streit um ihre vermögensrechtlichen Interessen dreht (Art. 63 Abs. 2 VwVG). Die Beschwerdeführenden sind im Verfahren A-2587/2018 vor Bundesverwaltungsgericht als vollständig obsiegend anzusehen, weshalb sie keine Verfahrenskosten zu tragen haben. Zudem sind der unterliegenden Vorinstanz keine Verfahrenskosten aufzuerlegen. Für das Verfahren A-2587/2018 sind deshalb keine Verfahrenskosten zu erheben. Der von den Beschwerdeführenden 2-21 im Verfahren A-2587/2018 einbezahlte Kostenvorschuss von Fr. 7'000.- ist ihnen nach Eintritt der Rechtskraft des vorliegenden Urteils zurückzuerstatten.</w:t>
      </w:r>
    </w:p>
    <w:p>
      <w:r>
        <w:rPr>
          <w:b/>
        </w:rPr>
        <w:t>E. 2.2</w:t>
      </w:r>
    </w:p>
    <w:p>
      <w:r>
        <w:t>Ganz oder teilwiese obsiegenden Parteien ist von Amtes wegen oder auf Begehren eine Entschädigung für ihnen erwachsene notwendige und verhältnismässig hohe Kosten zuzusprechen.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selbständigen Begehren am Verfahren beteiligt hat (Art. 64 Abs. 1-3 VwVG). Keinen Anspruch auf eine Parteientschädigung haben Bundesbehörden und, in der Regel, andere Behörden, die als Partei auftreten (Art. 7 Abs. 3 des Reglements vom 21. Februar 2008 über die Kosten und Entschädigungen vor dem Bundesverwaltungsgericht [VGKE, SR 173.320.2]). Eine Ausnahme von dieser Regel rechtfertigt sich bei kleineren und mittleren Gemeinwesen, die über keinen Rechtsdienst verfügen und daher insbesondere zur Bewältigung komplexer rechtlicher Angelegenheiten auf einen Rechtsanwalt angewiesen sind (vgl. Urteil des BVGer A-3785/2020 vom 3. September 2020 E. 3.1). Das Bundesverwaltungsgericht legt die Parteientschädigung aufgrund der eingereichten Kostennote oder, wenn wie vorliegend keine Kostennote eingereicht wurde, aufgrund der Akten fest (Art. 14 Abs. 2 VGKE), wobei ihm dabei ein gewisses Ermessen zukommt (vgl. Urteil des BGer 8C_33/2020 vom 28. Mai 2020 E. 6.4). Die anwaltlich vertretenen Beschwerdeführenden gelten als obsiegend. Bei der Beschwerdeführerin 1 handelt es sich um ein kleineres Gemeinwesen, das zur Beschwerdeführung einen Rechtsanwalt mandatiert hat, weshalb sich auch diesbezüglich eine Parteientschädigung rechtfertigt. Die Beschwerdeführenden haben keine Kostennote eingereicht. Die Parteientschädigung für das Verfahren A-2587/2018 ist entsprechend aufgrund der Akten festzusetzen, wobei das Bundesverwaltungsgericht eine solche in der Höhe von Fr. 1'800.- als angemessen erachtet. Die Parteientschädigung ist den Beschwerdeführenden von der Vorinstanz zu entrichten.</w:t>
      </w:r>
    </w:p>
    <w:p>
      <w:r>
        <w:rPr>
          <w:b/>
        </w:rPr>
        <w:t>E. 3</w:t>
      </w:r>
    </w:p>
    <w:p>
      <w:r>
        <w:t>Für den vorliegenden Kostenentscheid sind keine Kosten aufzuerlegen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