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A-430/2012 vom 27. Juli 2012</w:t>
      </w:r>
    </w:p>
    <w:p>
      <w:r>
        <w:t>Bundesverwaltungsgericht, 2012-07-27, DE</w:t>
      </w:r>
    </w:p>
    <w:p>
      <w:r>
        <w:rPr>
          <w:b/>
        </w:rPr>
        <w:t xml:space="preserve">Quelle: </w:t>
      </w:r>
      <w:r>
        <w:t>https://mcp.opencaselaw.ch/entscheid/bvger_A-430_2012</w:t>
      </w:r>
    </w:p>
    <w:p>
      <w:r>
        <w:t>FR: TAF A-430/2012 du 27 juillet 2012</w:t>
      </w:r>
    </w:p>
    <w:p>
      <w:r>
        <w:t>IT: TAF A-430/2012 del 27 luglio 2012</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1.2.1</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w:t>
      </w:r>
    </w:p>
    <w:p>
      <w:r>
        <w:rPr>
          <w:b/>
        </w:rPr>
        <w:t>E. 1.2.2</w:t>
      </w:r>
    </w:p>
    <w:p>
      <w:r>
        <w:t>Die objektive Beweislast regelt die Folgen der Beweislosigkeit. Nach herrschender Lehre und Praxis wird im schweizerischen Steuerrecht die Beweislast für steuerbegründende und steuererhöhende Tatsachen durch den Fiskus und für steueraufhebende und -mindernde Tatsachen durch das Steuersubjekt getragen. Der Erlass bewegt sich im Bereich der steueraufhebenden Tatsachen (Urteile des Bundesverwaltungsgerichts A 4478/2009 vom 13. Juli 2010 E. 1.4.3, A-7164/2007 vom 3. Juni 2010 E. 1.4; Blumenstein/Locher, a.a.O., S. 453 f.; vgl. auch Daniel Schär, Normentheorie und mitwirkungsorientierte Beweislastverteilung in gemischten Steuerveranlagungsverfahren, in: Archiv für Schweizerisches Abgaberecht [ASA] 67 S. 436 ff.).</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(anstatt vieler: Urteile des Bundesverwaltungsgerichts A-3626/2009 vom 7. Juli 2010 E. 1.2, A 7164/2007 vom 3. Juni 2010 E. 1.5, A-310/2009 vom 7. Mai 2010 E. 1.4).</w:t>
      </w:r>
    </w:p>
    <w:p>
      <w:r>
        <w:rPr>
          <w:b/>
        </w:rPr>
        <w:t>E. 1.4</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2.2.1</w:t>
      </w:r>
    </w:p>
    <w:p>
      <w:r>
        <w:t>Der Steuererlass stellt den Verzicht des Gemeinwesens auf einen ihm zustehenden steuerrechtlichen Anspruch dar, mit welchem das öffentliche Vermögen vermindert wird (Michael Beusch, Der Untergang der Steuerforderung, Zürich 2012, S. 188).</w:t>
      </w:r>
    </w:p>
    <w:p>
      <w:r>
        <w:rPr>
          <w:b/>
        </w:rPr>
        <w:t>E. 2.2.2</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trotz Anerkennung, dass sich eine stark überschuldete steuerpflichtige Person in besonders schwierigen Verhältnissen befindet, von einem Erlass abgesehen werden muss, wenn ihre Mittel nicht zur Befriedigung aller Gläubiger ausreichen. Bei einem Verzicht der Steuerbehörden würde nämlich nicht sie selbst profitieren, sondern primär ihre übrigen Gläubiger, welche beim Zugriff auf das pfändbare Einkommen und Vermögen einen Konkurrenten verlieren (vgl. Martin Zweifel/Hugo Casanova, Schweizerisches Steuerverfahrensrecht, Direkte Steuern, Zürich 2008, § 31 N. 16; Martin Zweifel, in: Zweifel/Athanas [Hrsg.], Kommentar zum Schweizerischen Steuerrecht, Bundesgesetz, Bd. I/2a+b, 2. Aufl., Basel 2008 [zitiert: Komm. DBG], N. 13 zu Art. 113 DBG).</w:t>
      </w:r>
    </w:p>
    <w:p>
      <w:r>
        <w:rPr>
          <w:b/>
        </w:rPr>
        <w:t>E. 2.2.3</w:t>
      </w:r>
    </w:p>
    <w:p>
      <w:r>
        <w:t>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der Bundesverfassung der Schweizerischen Eidgenossenschaft vom 18. April 1999 [BV, SR 101]) muss der Steuererlass aber seltene Ausnahme bleiben, welche nur unter bestimmten Voraussetzungen gewährt werden kann (vgl. Michael Beusch, Komm. DBG, N. 6 zu Art. 167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w:t>
      </w:r>
    </w:p>
    <w:p>
      <w:r>
        <w:rPr>
          <w:b/>
        </w:rPr>
        <w:t>E. 2.2.4</w:t>
      </w:r>
    </w:p>
    <w:p>
      <w:r>
        <w:t>Sind die objektiven (vgl. E. 2.3 f.) und subjektiven (vgl. E. 2.5 ff.) Voraussetzungen erfüllt, so besteht gemäss klarem Wortlaut von Art. 2 Abs. 1 Steuererlassverordnung und gemäss ständiger Rechtsprechung des Bundesverwaltungsgerichts ein öffentlich-rechtlicher Anspruch auf dessen Gewährung (BVGE 2009/45 E. 2.2; Urteile des Bundesverwaltungsgerichts A 7668/2010 vom 22. September 2011 E. 2.2, A 5975/2007 vom 28. Juni 2010 E. 2.2, alle auch zum Folgenden).</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 des Bundesverwaltungsgerichts A 7164/2007 vom 3. Juni 2010 E. 2.3; vgl. Richner/Frei/Kauf­mann/Meu­ter, a.a.O., N. 3 zu Art. 167 DBG; Beusch, Komm.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Komm. DBG, N. 13 zu Art. 167 DBG).</w:t>
      </w:r>
    </w:p>
    <w:p>
      <w:r>
        <w:rPr>
          <w:b/>
        </w:rPr>
        <w:t>E. 2.6.1</w:t>
      </w:r>
    </w:p>
    <w:p>
      <w:r>
        <w:t>Die erste im Gesetz genannte Voraussetzung - das Vorliegen einer Notlage - wird in Art. 9 Abs. 1 Steuererlassverordnung konkretisiert (BVGE 2009/45 E. 2.6, auch zum Folgenden).</w:t>
      </w:r>
    </w:p>
    <w:p>
      <w:r>
        <w:rPr>
          <w:b/>
        </w:rPr>
        <w:t>E. 2.6.2</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Komm. DBG, N. 14 zu Art. 167 DBG). Mögliche Ursachen für eine derartige Notlage werden beispielhaft in Art. 10 Abs. 1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Steuererlassverordnung). Weiter wird auch eine starke Überschuldung als Folge von ausserordentlichen Aufwendungen, die in den persönlichen Verhältnissen begründet sind und für die die steuerpflichtige Person nicht einzustehen hat, als Ursache genannt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Komm. DBG, N. 15 f. zu Art. 167 DBG). Durch das Erfordernis eines gleichwertigen Verzichts der übrigen Gläubiger wird dem Grundsatz von Art. 1 Abs. 1 Steuererlassverordnung, wonach ein Steuererlass nicht den anderen Gläubigern zugutekommen darf, Rechnung getragen (vgl. E. 2.2.2). Bei einem gleichwertigen Verzicht tragen sämtliche Gläubiger gleichermassen zur Sanierung der wirtschaftlichen Lage des Schuldners bei, womit auch ausschliesslich dieser von einem Erlass profitiert.</w:t>
      </w:r>
    </w:p>
    <w:p>
      <w:r>
        <w:rPr>
          <w:b/>
        </w:rPr>
        <w:t>E. 2.6.4</w:t>
      </w:r>
    </w:p>
    <w:p>
      <w:r>
        <w:t>Die zu einem Erlass berechtigende Notlage setzt nicht voraus, dass die steuerpflichtige Person einen Anspruch auf Sozialhilfe hat oder sich gar auf das Recht auf Hilfe in Notlagen (Art. 12 BV) berufen können muss (vgl. Beusch, Komm.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A-6866/2008 vom 2. März 2011 E. 2.8, A-4478/2009 vom 13. Juli 2010 E. 2.7.1; Zweifel/Casanova, a.a.O., § 31 N. 14; Känzig/Behnisch, a.a.O., N. 4 zu Art. 124 BdBSt mit Hinweisen auf die Rechtsprechung).</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Richner/Frei/Kaufmann/Meuter, a.a.O., N. 22 zu Art. 167 DBG; Beusch, Komm. DBG, N. 27 zu Art. 167 DBG). Damit sind die durch die kantonale Steuerverwaltung erlassenen kantonalen Steuern nicht als Schulden zu berücksichtigen. Ein solcher Erlass kann für das vorliegende Verfahren aber nicht präjudiziell wirken (Entscheid der Eidgenössischen Erlasskommission vom 19. Oktober 1946, veröffentlicht in ASA 15 S. 148). Sofern die kantonalen Erlassgründe jedoch ähnlich ausgestaltet sind wie diejenigen der direkten Bundessteuer, stellt ein Erlass der kantonalen Steuern allenfalls ein Indiz dar (Urteile des Bundesverwaltungsgerichts A 6466/2008 vom 1. Juni 2010 E. 3.2.1, A 3692/2009 vom 10. Dezember 2009 E. 2.2; vgl. auch Richner/Frei/Kaufmann/Meuter,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3.1</w:t>
      </w:r>
    </w:p>
    <w:p>
      <w:r>
        <w:t>In ihrer Eingabe vom 22. Januar 2012 verlangt die Beschwerdeführerin eine Überprüfung des vorinstanzlichen Entscheids und sinngemäss die Aufhebung desselben.</w:t>
      </w:r>
    </w:p>
    <w:p>
      <w:r>
        <w:rPr>
          <w:b/>
        </w:rPr>
        <w:t>E. 3.2.1</w:t>
      </w:r>
    </w:p>
    <w:p>
      <w:r>
        <w:t>Mit Entscheid vom 30. November 2011 hat die EEK festgestellt, dass die Steuerpflichtige überschuldet und bereits deshalb ein Steuererlass ausgeschlossen sei. Dem hält die Beschwerdeführerin in ihrer Beschwerdebegründung entgegen, dass es ihr nicht möglich sei, einen Kredit zu erhalten, weshalb ein Sanierungsvorschlag, selbst wenn alle Gläubiger diesem zustimmen würden, aussichtslos sei. In ihrer Vernehmlassung vom 30. April 2012 hält die Vorinstanz unter Verweis auf die einschlägigen Bestimmungen der Steuererlassverordnung an ihrer Auffassung fest.</w:t>
      </w:r>
    </w:p>
    <w:p>
      <w:r>
        <w:rPr>
          <w:b/>
        </w:rPr>
        <w:t>E. 3.2.2</w:t>
      </w:r>
    </w:p>
    <w:p>
      <w:r>
        <w:t>Die Beschwerdeführerin lebt seit Februar 2011 von ihrem Ehemann gesetzlich getrennt. Monatlich stünden ihr gemäss eigenen Angaben insgesamt Fr. 2'272.- zur Verfügung (AHV-Rente und Zusatzleitungen im Umfang von Fr. 1742.- respektive Fr. 380.- sowie Fr. 150.- von ihrem Ehegatten). Ihr betreibungsrechtliches Existenzminimum betrage Fr. 2'560.- pro Monat. Auch wenn der von der Beschwerdeführerin angegebene Sozialhilfebetrag nicht mit demjenigen übereinstimmt, den sie im Formular betreffend Gesuch um unentgeltliche Rechts­pflege angibt (nämlich Fr. 718.- pro Monat), vermag diese Abweichung nichts am Umstand zu ändern, dass die Beschwerdeführerin offensichtlich nicht in der Lage ist, die für die Jahre 2002 und 2003 geschuldete direkte Bundessteuer aus ihren Einnahmen zu bezahlen. Dies ist zwischen den Parteien auch unbestritten und wurde von der EEK in ihrem Entscheid vom 30. November 2011 bereits festgestellt. Seit diesem Entscheid - so die EEK in ihrer Vernehmlassung vom 30. April 2012 - hätten sich die Einnahmen und Ausgaben der Beschwerdeführerin zwar teilweise verändert, aber nicht in einem Ausmass, welches bezüglich der Frage, ob ein Erlass zu gewähren sei oder nicht, zu einem anderen Ergebnis führen würde.</w:t>
      </w:r>
    </w:p>
    <w:p>
      <w:r>
        <w:rPr>
          <w:b/>
        </w:rPr>
        <w:t>E. 3.2.3</w:t>
      </w:r>
    </w:p>
    <w:p>
      <w:r>
        <w:t>Das Bundesverwaltungsgericht verkennt nicht, dass die soeben dargelegte finanzielle Situation für die Beschwerdeführerin mit Härten und Belastungen verbunden sein kann. Indessen muss aber auch berücksichtigt werden, dass die Beschwerdeführerin, die vor ihrer Pensionierung im Liegenschaftshandel und in der Liegenschaftsverwaltung tätig war, erhebliche Schulden hat. Diese belaufen sich auf insgesamt Fr. 1'981'271.05, wovon nach ihren Angaben rund Fr. 1'750'000.- auf Verlustscheine entfallen. Eine Gesamtsanierung sei aussichtslos; bereits zweimal sei ein Sanierungsplan abgelehnt worden.</w:t>
      </w:r>
    </w:p>
    <w:p>
      <w:r>
        <w:rPr>
          <w:b/>
        </w:rPr>
        <w:t>E. 3.2.4</w:t>
      </w:r>
    </w:p>
    <w:p>
      <w:r>
        <w:t>Die Beschwerdeführerin vermag nicht darzulegen (und hat insofern die Folgen der Beweislosigkeit zu tragen, vgl. E. 1.2), dass ein Erlass der direkten Bundessteuern zu einer langfristigen und dauernden Sanierung ihrer wirtschaftlichen Lage beitragen würde (E. 2.2.2). Vielmehr ist bei einer Schuldenlast im Umfang von Fr. 1'981'271.05 vom Gegenteil auszugehen, nämlich ganz offensichtlich von besonders schwierigen und aussichtslosen finanziellen Verhältnissen. Bei einem Erlass würde folglich nicht primär die Beschwerdeführerin profitieren, sondern ihre übrigen (privaten) Gläubiger. Aus diesem Grund kann auch der Bund weder ganz noch teilweise auf seine Forderungen verzichten. Zudem würde sich durch den Steuererlass die wirtschaftliche Situation der Beschwerdeführerin nicht wesentlich verbessern. Wie die Vorinstanz zu Recht ausführt, kann auch das fortgeschrittene Alter der Beschwerdeführerin nicht als massgebendes Kriterium für einen Steuererlass herangezogen werden, zumal die wirtschaftlichen Verhältnisse mit oder ohne Steuererlass relativ unverändert bleiben würden.</w:t>
      </w:r>
    </w:p>
    <w:p>
      <w:r>
        <w:rPr>
          <w:b/>
        </w:rPr>
        <w:t>E. 3.2.5</w:t>
      </w:r>
    </w:p>
    <w:p>
      <w:r>
        <w:t>Angesichts der festgestellten Überschuldung der Beschwerdeführerin ist ein Steuererlass ausgeschlossen und die Beschwerde bereits aus diesem Grund abzuweisen.</w:t>
      </w:r>
    </w:p>
    <w:p>
      <w:r>
        <w:rPr>
          <w:b/>
        </w:rPr>
        <w:t>E. 4</w:t>
      </w:r>
    </w:p>
    <w:p>
      <w:r>
        <w:t>Nach dem Gesagten ist auf die weiteren Rügen der Beschwerdeführerin nicht mehr weiter einzugehen. Dies gilt auch für das Vorbingen, ihr Ehegatte habe sich verpflichtet, die offenen Steuern von 2008 und 2009 zu übernehmen. Einerseits betrifft das vorliegende Verfahren nicht jene Periode, sondern den Erlass der direkten Bundessteuer der Jahre 2003 und 2004; andererseits fehlen Belege für das Vorliegen einer Vereinbarung respektive wurde diese, auch nachdem die EEK in ihrer Vernehmlassung vom 30. April 2012 auf diesen Umstand hingewiesen hat, von der Beschwerdeführerin nicht mehr nachgereicht.</w:t>
      </w:r>
    </w:p>
    <w:p>
      <w:r>
        <w:rPr>
          <w:b/>
        </w:rPr>
        <w:t>E. 5</w:t>
      </w:r>
    </w:p>
    <w:p>
      <w:r>
        <w:t>Ausgangsgemäss ist die Beschwerde vollumfänglich abzuweisen. Infolge Gewährung der unentgeltlichen Rechtspflege sind die Verfahrenskosten von Fr. 2'500.- auf die Gerichtskasse zu nehmen. Eine Parteientschädigung bleibt der Beschwerdeführerin von Gesetzes wegen versagt (Art. 64 Abs. 1 VwVG in Verbindung mit Art. 7 des Reglements vom 21. Februar 2008 über die Kosten und Entschädigungen vor dem Bundesverwaltungsgericht [VGKE, SR 173.320.2] e contrario).</w:t>
      </w:r>
    </w:p>
    <w:p>
      <w:r>
        <w:rPr>
          <w:b/>
        </w:rPr>
        <w:t>E. 6</w:t>
      </w:r>
    </w:p>
    <w:p>
      <w:r>
        <w:t>Dieser Entscheid kann nicht mit Beschwerde in öffentlich-rechtlichen Angelegenheiten an das Bundesgericht weitergezogen werden (Art. 83 Bst. m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