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A-4304/2021 vom 16. Juni 2023</w:t>
      </w:r>
    </w:p>
    <w:p>
      <w:r>
        <w:t>Bundesverwaltungsgericht, 2023-06-16, DE</w:t>
      </w:r>
    </w:p>
    <w:p>
      <w:r>
        <w:rPr>
          <w:b/>
        </w:rPr>
        <w:t xml:space="preserve">Quelle: </w:t>
      </w:r>
      <w:r>
        <w:t>https://mcp.opencaselaw.ch/entscheid/bvger_A-4304_2021</w:t>
      </w:r>
    </w:p>
    <w:p>
      <w:r>
        <w:t>FR: TAF A-4304/2021 du 16 juin 2023</w:t>
      </w:r>
    </w:p>
    <w:p>
      <w:r>
        <w:t>IT: TAF A-4304/2021 del 16 giugno 2023</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September 1968 (VwVG, SR 172.021), sofern in sachlicher Hinsicht keine Ausnahme nach Art. 32 VGG vorliegt und es sich bei der Vorinstanz um eine Behörde im Sinn von Art. 33 VGG handelt. Diese Voraussetzungen sind vorliegend erfüllt. Das Bundesverwaltungsgericht ist damit zur Behandlung von Beschwerden gegen Einspracheentscheide der Vorinstanz auf dem Gebiet der Mehrwertsteuer sachlich und funktionell zuständig.</w:t>
      </w:r>
    </w:p>
    <w:p>
      <w:r>
        <w:rPr>
          <w:b/>
        </w:rPr>
        <w:t>E. 1.2</w:t>
      </w:r>
    </w:p>
    <w:p>
      <w:r>
        <w:t>Das Verfahren vor dem Bundesverwaltungsgericht richtet sich nach dem VwVG soweit das VGG nichts anderes bestimmt (Art. 37 VGG; vgl. auch Art. 81 Abs. 1 MWSTG).</w:t>
      </w:r>
    </w:p>
    <w:p>
      <w:r>
        <w:rPr>
          <w:b/>
        </w:rPr>
        <w:t>E. 1.3</w:t>
      </w:r>
    </w:p>
    <w:p>
      <w:r>
        <w:t>Die Beschwerdeführerin ist als Verfügungsadressatin zur Beschwerdeführung berechtigt (Art. 48 Abs. 1 VwVG) und hat die Beschwerde rechtzeitig und formgerecht eingereicht (Art. 50 Abs. 1 und Art. 52 Abs. 1 VwVG). Nachdem sie auch den Vorschuss für die Verfahrenskosten fristgerecht geleistet hat (Art. 63 Abs. 4 i.V.m. Art. 21 Abs. 3 VwVG), ist auf die Beschwerde einzutreten.</w:t>
      </w:r>
    </w:p>
    <w:p>
      <w:r>
        <w:rPr>
          <w:b/>
        </w:rPr>
        <w:t>E. 1.4</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2.1</w:t>
      </w:r>
    </w:p>
    <w:p>
      <w:r>
        <w:t>Das Verbot der Rechtsverweigerung bzw. Rechtsverzögerung ergibt sich als Teilgehalt aus der allgemeinen Verfahrensgarantie in Art. 29 Abs. 1 der Bundesverfassung der Schweizerischen Eidgenossenschaft vom 18. April 1999 (BV, SR 101). Danach hat jede Person in Verfahren vor Gerichts- und Verwaltungsinstanzen Anspruch auf gleiche und gerechte Behandlung sowie auf Beurteilung innert angemessener Frist (sog. «Beschleunigungsgebot»). Art. 65 Abs. 4 MWSTG hält für den Bereich der Mehrwertsteuer ausdrücklich fest, dass sämtliche Verwaltungshandlungen beförderlich zu vollziehen sind. Hinsichtlich der prozessualen Folgen einer allfälligen übermässigen Verfahrensdauer hat das Bundesgericht festgehalten, es müsse mit deren Feststellung sein Bewenden haben. Namentlich könne eine Verletzung des Beschleunigungsgebots in Steuerangelegenheiten nicht dazu führen, dass die geschuldete Steuer nicht bezahlt werden müsste (Urteile des BGer 2C_872/2008, 2C_873/2008 vom 7. Dezember 2009 E. 4.1.3, 2A.455/2006 vom 1. März 2007 E. 3.3.2; Urteile des BVGer A-4571/2020 vom 10. Mai 2022 E. 2.1, A-3365/2020 vom 19. März 2021 E. 2.1.2 mit Hinweisen).</w:t>
      </w:r>
    </w:p>
    <w:p>
      <w:r>
        <w:rPr>
          <w:b/>
        </w:rPr>
        <w:t>E. 2.2</w:t>
      </w:r>
    </w:p>
    <w:p>
      <w:r>
        <w:t>Die Beschwerdeführerin rügt, die Vorinstanz habe das Gebot der beförderlichen Behandlung offensichtlich verletzt: Die Behandlung der Einsprache habe 699 Tage beansprucht, was auch unter Berücksichtigung der besonderen Umstände aufgrund der «Covid-19 Pandemie» offensichtlich viel zu lange sei. Das Einspracheverfahren hätte ihrer Auffassung nach maximal 180 Tage dauern dürfen. Die Vorinstanz hingegen bestreitet, dass eine Verletzung des Beschleunigungsgebots vorliege. Dabei räumt sie ein, dass die Bearbeitung der Einsprache eine gewisse Zeit beansprucht habe, die Verfahrensdauer von knapp 2,5 Jahren (Entscheid- und Einspracheverfahren) jedoch noch knapp angemessen sei. Dies begründet sie damit, dass sie aus Gründen der Gleichbehandlung aller Steuerpflichtigen sämtliche Rechtsschriften nach der Reihenfolge ihres Eingangs beurteile. Da die Beschwerdeführerin erst im Einspracheverfahren ihre Anträge begründet habe, habe sie sich erst in diesem Verfahrensstadium detailliert mit deren Vorbringen auseinandersetzen können. Die Beschwerdeführerin führe sodann nicht aus, inwiefern ihr aufgrund der Verfahrensdauer ein Nachteil erwachsen sei.</w:t>
      </w:r>
    </w:p>
    <w:p>
      <w:r>
        <w:rPr>
          <w:b/>
        </w:rPr>
        <w:t>E. 2.3</w:t>
      </w:r>
    </w:p>
    <w:p>
      <w:r>
        <w:t>Vorliegend vergingen zwischen der Verfügung vom 26. August 2019 und dem Einspracheentscheid vom 25. August 2021 knapp weniger als zwei Jahre. Der angefochtene Einspracheentscheid erging somit gerade noch innerhalb der relativen Verjährungsfrist von Art. 42 Abs. 3 Satz 2 MWSTG. Allein darin lässt sich keine Verletzung des Beschleunigungsgebots erkennen (Urteil des BVGer A-4571/2020 vom 10. Mai 2022 E. 2.3.1), zumal keine besonderen Umstände vorliegen, wie beispielsweise eine fallspezifische Dringlichkeit.</w:t>
      </w:r>
    </w:p>
    <w:p>
      <w:r>
        <w:rPr>
          <w:b/>
        </w:rPr>
        <w:t>E. 2.4</w:t>
      </w:r>
    </w:p>
    <w:p>
      <w:r>
        <w:t>Zusammenfassend lässt sich festhalten, dass in der Dauer des Einspracheverfahrens keine Verletzung des Beschleunigungsgebots zu erblicken ist. Die diesbezügliche Rüge der Beschwerdeführerin erweist sich somit als unbegründet.</w:t>
      </w:r>
    </w:p>
    <w:p>
      <w:r>
        <w:rPr>
          <w:b/>
        </w:rPr>
        <w:t>E. 3</w:t>
      </w:r>
    </w:p>
    <w:p>
      <w:r>
        <w:t>Der vorliegend zu beurteilende Sachverhalt betrifft die Steuerperioden 2013 bis 2017. Somit ist das MWSTG (mitsamt der zugehörigen Mehrwertsteuerverordnung vom 27. November 2009 [MWSTV, SR 641.201]) in den in den Jahren 2013 bis 2017 gültigen Fassungen (AS 2011 4739, 2013 3839, 2014 3847, 2015 4917, 2017 283) massgebend, worauf nachfolgend - wo nicht anders vermerkt - referenziert wird. Soweit im Folgenden auf die Rechtsprechung zum früheren Mehrwertsteuergesetz vom 2. September 1999 (aMWSTG; AS 2000 1300) verwiesen wird, liegt der Grund darin, dass diese im vorliegenden Fall auch für das MWSTG übernommen werden kann.</w:t>
      </w:r>
    </w:p>
    <w:p>
      <w:r>
        <w:rPr>
          <w:b/>
        </w:rPr>
        <w:t>E. 3.1</w:t>
      </w:r>
    </w:p>
    <w:p>
      <w:r>
        <w:t>Der Bund erhebt eine allgemeine Verbrauchssteuer nach dem System der Nettoallphasensteuer (Mehrwertsteuer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3.2</w:t>
      </w:r>
    </w:p>
    <w:p>
      <w:r>
        <w:t>Damit überhaupt eine steuerbare Leistung vorliegt, muss sie im Austausch mit einem Entgelt erfolgen (sog. «Leistungsverhältnis», vormals: «Leistungsaustauschverhältnis»; vgl. hierzu Urteil des BVGer A-6831/2013 vom 8. Juli 2015 E. 3.1.5 mit Hinweisen).</w:t>
      </w:r>
    </w:p>
    <w:p>
      <w:r>
        <w:rPr>
          <w:b/>
        </w:rPr>
        <w:t>E. 3.2.1</w:t>
      </w:r>
    </w:p>
    <w:p>
      <w:r>
        <w:t>Auch das Erbringen von Leistungen an eng verbundene Personen gilt als Leistungsverhältnis (vgl. Art. 26 Satz 1 MWSTV in Verbindung mit Art. 24 Abs. 2 MWSTG), sofern es sich nicht um reine Innenleistungen handelt (Urteil des BVGer A-4190/2020, A-4195/2020 vom 15. Dezember 2021 E. 2.3.2). Als eng verbundene Personen gelten dabei nach Art. 3 Bst. h MWSTG (in der anwendbaren Fassung vom 1. Januar 2010; AS 2009 5203)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A-4195/2020 vom 15. Dezember 2021 E. 3.2.3.2).</w:t>
      </w:r>
    </w:p>
    <w:p>
      <w:r>
        <w:rPr>
          <w:b/>
        </w:rPr>
        <w:t>E. 3.2.2</w:t>
      </w:r>
    </w:p>
    <w:p>
      <w:r>
        <w:t>Nicht als Leistungen an eng verbundene Personen, sondern als Eigenverbrauch zu qualifizieren ist die Verwendung von Gegenständen oder Dienstleistungen ausserhalb der unternehmerischen Tätigkeit durch den Unternehmensträgers selbst (z.B. Verwendung durch die Aktiengesellschaft für einen eigenen, nicht-unternehmerischen Bereich [Art. 31 Abs. 2 Bst. a MWSTG; vgl. Philipe Robinson, in: Zweifel/Beusch/Glauser/Robinson [Hrsg.], Kommentar zum Schweizerischen Steuerrecht, Bundesgesetz über die Mehrwertsteuer, 2015, Art. 31 N 16; Beatrice Blum, in: Geiger/Schluckebier, Kommentar MWSTG, 2. Aufl. 2019, N 12 zu Art. 31 MWSTG). 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(Urteil des BGer 2C_403/2022 vom 12. Dezember 2022 Absatz 2 mit Hinweisen). Handelt es sich bei der eng verbundenen Person gleichzeitig um einen Lohnausweisempfänger (z.B. Aktionär, Verwaltungsrat), unterliegen nur jene Leistungen den Bestimmungen für das Personal (Art. 47 MWSTG), die der eng verbundenen Person in ihrer Funktion als Angestellte zukommt. Für die übrigen Leistungen, die auf die massgebliche Beteiligung zurückzuführen sind, bleiben die Bestimmungen für eng verbundene Personen anwendbar (Sonja Bossart /Diego Clavadetscher, in: Zweifel/Beusch/Glauser/Robinson, Kommentar zum schweizerischen Steuerrecht, Bundesgesetz über die Mehrwertsteuer, Art. 18 N 120).</w:t>
      </w:r>
    </w:p>
    <w:p>
      <w:r>
        <w:rPr>
          <w:b/>
        </w:rPr>
        <w:t>E. 3.2.3</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 des BVGer A-6223/2019 vom 24. Juli 2020 E. 2.4.1 mit Hinweisen). Die Anwendbarkeit dieses Drittvergleichs bedingt eine Leistung zu einem Vorzugspreis, also zu einem Entgelt, welches nicht mit dem Preis übereinstimmt, den ein unabhängiger Dritter zu bezahlen hätte (vgl. Urteile des BVGer A-2304/2019 vom 20. April 2020 E. 2.2.4.3 [bestätigt durch Urteil des BGer 2C_443/2020 vom 8. Oktober 2020], A-3734/2011 vom 9. Januar 2013 E. 2.3.2 mit Hinweisen). 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A-4195/2020 vom 15. Dezember 2021 E. 3.2.4 mit weiteren Hinweisen).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A-6223/2019 vom 24. Juli 2020 E. 2.4.2, je mit weiteren Hinweisen).</w:t>
      </w:r>
    </w:p>
    <w:p>
      <w:r>
        <w:rPr>
          <w:b/>
        </w:rPr>
        <w:t>E. 3.3</w:t>
      </w:r>
    </w:p>
    <w:p>
      <w:r>
        <w:t>Eine Steuerumgehung liegt gemäss Rechtsprechung des Bundesgerichts dann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(BGE 148 II 233 E. 5.2, 146 II 97 E. 2.6.2, 142 II 399 E. 4.2; Urteil des BGer 2C_217/2022 vom 15. Dezember 2022 E. 5.2.1).</w:t>
      </w:r>
    </w:p>
    <w:p>
      <w:r>
        <w:rPr>
          <w:b/>
        </w:rPr>
        <w:t>E. 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Selbstveranlagungsprinzip vorsieht (BGE 137 II 136 E. 6.2; Urteile des BGer 2C_353/2013 vom 23. Oktober 2013 E. 3.3, 2C_970/2012 vom 1. April 2013 E. 4.1). 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Zivilgesetzbuchs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A-4488/2019 vom 26. Oktober 2020 E. 1.4.2).</w:t>
      </w:r>
    </w:p>
    <w:p>
      <w:r>
        <w:rPr>
          <w:b/>
        </w:rPr>
        <w:t>E. 4.2</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A-4487/2019, A-4488/2019 vom 26. Oktober 2020 E. 1.4.3).</w:t>
      </w:r>
    </w:p>
    <w:p>
      <w:r>
        <w:rPr>
          <w:b/>
        </w:rPr>
        <w:t>E. 5</w:t>
      </w:r>
    </w:p>
    <w:p>
      <w:r>
        <w:t>Zu prüfen ist zunächst, ob die sieben Liebhaberfahrzeuge dem Aktionär zur privaten Verwendung «Zurverfügung» gestellt wurden. Hierbei handelt es sich um eine Sachverhaltsfrage (Urteil des BGer 2C_403/2022 vom 12. Dezember 2022 E. 3.1.2). Als Rechtsfrage sind demgegenüber die mehrwertsteuerlichen Konsequenzen eines möglichen steuerbaren Leistungsaustausches zu prüfen, die aus einem allfälligen «Zurverfügungstellen» resultieren (E. 6).</w:t>
      </w:r>
    </w:p>
    <w:p>
      <w:r>
        <w:rPr>
          <w:b/>
        </w:rPr>
        <w:t>E. 5.1</w:t>
      </w:r>
    </w:p>
    <w:p>
      <w:r>
        <w:t>Damit festgestellt werden kann, ob Fahrzeuge «Zurverfügung» gestellt wurden, sind die gesamten Umstände zu berücksichtigen. Die Halterschaft bei Fahrzeugen stellt dabei lediglich ein Indiz dar. Als Halter gilt rechtsprechungsgemäss nicht der Eigentümer des Fahrzeugs, der formell im Fahrzeugausweis eingetragen ist, sondern derjenige, auf dessen Rechnung und Gefahr der Betrieb des Fahrzeugs erfolgt und der zugleich über dieses und allenfalls über die zum Betrieb erforderlichen Personen, die tatsächliche, unmittelbare Verfügung besitzt (Urteil des BGer 2C_403/2022 vom 12. Dezember 2022 E. 3.1.4 f. mit Hinweisen). Steht das Fahrzeug dem Arbeitnehmer nicht bloss zu geschäftlichen Zwecken zur Verfügung und kann er damit nicht bloss gelegentlich private Fahrten ausführen, sondern während mehrerer Monate im Wesentlichen frei über die Verwendung entscheiden, so wird er zum Halter, selbst wenn er das Auto vorwiegend mit Rücksicht auf die geschäftlichen Bedürfnisse seines Arbeitgebers einsetzt. Hingegen ist jemand, dem ein Fahrzeug freiwillig nur zum gelegentlichen Gebrauch zur Verfügung gestellt wird, ohne dass er Betriebskosten zu tragen hätte, nicht Halter (BGE 144 II 281 E. 4.3.1 mit Hinweisen). Ein weiteres Indiz für das «Zurverfügungstellen» ist die umfassende Bestimmungsmöglichkeit eines Geschäftsführers und Aktionärs einer von ihm beherrschten Aktiengesellschaft. Es ist naheliegend, dass diesem jederzeit die Verfügungsgewalt über ein oder mehrere Fahrzeug(e) der Aktiengesellschaft zukommt. Verfügt der Geschäftsführer und Aktionär gleichzeitig über besondere Fachkenntnisse von Oldtimern und ist er ein Liebhaber solcher Fahrzeuge, deutet dies ebenfalls auf ein «Zurverfügungstellen» hin. Sind die Oldtimer beim Geschäftsführer zuhause oder an unterschiedlichen Orten in der Schweiz (d.h. nicht am Geschäftsdomizil) eingelagert, ist dieser Umstand ebenfalls als Indiz zu berücksichtigen. Schliesslich sind Oldtimer auch dann einer Gebrauchsnutzung im Sinne des «Zuverfügungstellens» zugänglich, ohne - mangels Einlösung oder anderweitig - fahrbereit zu sein (zum Ganzen: Urteil des BGer 2C_403/2022 vom 12. Dezember 2022 E. 5 und 5.5.3; auch zum Folgenden). Soweit es sich um Veteranenfahrzeuge handelt, dürfen diese ohnehin nur zu rein privaten Zwecken verwendet werden (Urteil des BVGer A-5059/2014 vom 26. Februar 2015 E. 5.1.2 [bestätigt durch Urteil des BGer 2C_321/2015 vom 22. Dezember 2015]). Dabei schliesst die Annahme einer privaten Nutzung durch den Aktionär nicht aus, dass das Fahrzeug daneben zu (geschäftlichen) Repräsentationszwecken verwendet wird (Urteil des BVGer A-5059/2014 vom 26. Februar 2015 E. 5.1.2). Überdies spielt es keine Rolle, ob die Fahrzeuge im Rahmen der Nutzungsberechtigung (das «Zurverfügungstellen») auch tatsächlich gefahren werden (Urteil des BGer 2C_403/2022 vom 22. Dezember 2022 E. 5.5.3); dies im konkreten Fall insbesondere mit Bezug auf einen «Sammler».</w:t>
      </w:r>
    </w:p>
    <w:p>
      <w:r>
        <w:rPr>
          <w:b/>
        </w:rPr>
        <w:t>E. 5.2</w:t>
      </w:r>
    </w:p>
    <w:p>
      <w:r>
        <w:t>Die Beschwerdeführerin macht geltend, die Liebhaberfahrzeuge, müssten regelmässig bewegt werden, um Standschäden zu vermeiden. Damit der Aktionär nicht alle Fahrten alleine absolvieren müsse, würden die Fahrzeuge von ausgewählten Mitarbeitern gefahren, teilweise in deren Freizeit. Weiter verwende sie die Liebhaberfahrzeuge zu Werbezwecken für ihre Geschäftsfelder «Autopflege» und «Autohotel» und nehme hierzu regelmässig an verschiedenen Anlässen mit Liebhaberfahrzeugen teil, wobei sie teilweise auch Sponsorin dieser Anlässe sei. Der Erfolg des Autohotels würde die Akquisitions- und Marketinganstrengungen bestätigen. Sie sei auch Mitglied in Auto-Clubs, was Zugang zu einem potentiellen Kundenkreis eröffne. Einige der Liebhaberfahrzeuge würden regelmässig an Kunden als Ersatzfahrzeuge abgegeben. Der Aktionär verfüge privat selber über eine Sammlung von Oldtimern und Liebhaberfahrzeugen. Die Liebhaberfahrzeuge würden - so die Beschwerdeführerin abschliessend - vom Aktionär und dem anderen Geschäftsführer in ihrem Dienst gefahren und somit unternehmerisch und nicht privat genutzt. Dem hält die Vorinstanz entgegen, dass der Aktionär im Rahmen der Kontrolle geäussert habe, der betreffende «Fuhrpark», d.h. sämtliche Liebhaberfahrzeuge, stehe ihm zur Nutzung zur Verfügung. Der Aktionär sei während der Steuerperioden 2013 - 2017 für zwei Liebhaberfahrzeuge ständig und für deren drei zeitweise als Halter eingetragen gewesen. Die Fahrzeugversicherungen seien über dessen privates Kontokorrent bezahlt worden. Für fünf der Liebhaberfahrzeuge sei die Fahrzeugversicherung im Jahr 2016 über die private Motorfahrzeugpolice des Aktionärs abgeschlossen worden. Das eine Kontrollschild, welches teilweise für die Liebhaberfahrzeuge verwendet wurde, sei zuvor vom Aktionär für dessen privaten Fahrzeuge verwendet worden. Die Annahme einer privaten Nutzung durch den Aktionär schliesse nicht aus, dass die Fahrzeuge daneben zu geschäftlichen Repräsentationszwecken verwendet würden - eine unternehmerische Nutzung werde somit nicht bestritten, weshalb auch der Vorsteuerabzug gewährt worden sei.</w:t>
      </w:r>
    </w:p>
    <w:p>
      <w:r>
        <w:rPr>
          <w:b/>
        </w:rPr>
        <w:t>E. 5.3</w:t>
      </w:r>
    </w:p>
    <w:p>
      <w:r>
        <w:t>Hinsichtlich des Sachverhalts ist zunächst unbestritten, dass der Aktionär während der Steuerperioden 2013 - 2017 ein Geschäftsfahrzeug (Audi A6 bis 23. April 2013, sodann Alfa Romeo Guiletta bis 31. Dezember 2017) auch zur privaten Nutzung verwenden durfte. Entgegen der Ansicht der Beschwerdeführerin ist sodann unbestritten, dass die sieben Liebhaberfahrzeuge (Alfa Romeo Alfetta GTV, Aston Martin V8 Volante, BMW 325i Cabrio, BMW 528i, Ferrari 550 Maranello, Jaguar XJS und Lancia Delta HF Integrale) unternehmerisch genutzt wurden. Dabei ist es nach Ansicht des Bundesverwaltungsgerichts nicht entscheidend, ob die Fahrzeuge sich im Umlauf- oder im Anlagevermögen der Beschwerdeführerin befanden. Es kann daher offengelassen werden, ob die Liebhaberfahrzeuge als Kapitalanlage dienten.</w:t>
      </w:r>
    </w:p>
    <w:p>
      <w:r>
        <w:rPr>
          <w:b/>
        </w:rPr>
        <w:t>E. 5.3.1</w:t>
      </w:r>
    </w:p>
    <w:p>
      <w:r>
        <w:t>Bezüglich des «Zurverfügungstellens» der sieben Liebhaberfahrzeuge ist zunächst festzuhalten, dass keine Bordbücher oder anderweitig aussagekräftige Unterlagen aktenkundig sind, die darauf schliessen lassen, wie die Liebhaberfahrzeuge genutzt wurden. Den Akten kann jedoch entnommen werden, dass der Aktionär in den Jahren 2013 - 2017 für zwei der Liebhaberfahrzeuge jeweils während deren Verkehrszulassung von Frühling bis Herbst beim Strassenverkehrsamt als Halter eingetragen war (Aston Martin V8 Volante, BMW 528i), wobei eines dieser Fahrzeuge erst im Jahr 2014 von der Beschwerdeführerin erworben wurde. Für drei weitere Liebhaberfahrzeuge (Alfa Romeo Alfetta GTV, Ferrari 550 Maranello und Jaguar XJS) war der Aktionär zeitweise als Halter eingetragen. Im gesamten Zeitraum wurden Versicherungsprämien über das private Kontokorrent des Aktionärs abgerechnet. Fünf der Liebhaberfahrzeuge (Alfa Romeo Alfetta GTV, Aston Martin V8 Volante, BMW 528i, Ferrari 550 Maranello und Lancia Delta HF Integrale) waren 2016 über seine private Motorfahrzeugpolice versichert. Ein Teil des Betriebsunterhalts der Liebhaberfahrzeuge ist somit auf Rechnung des Aktionärs erfolgt. Diese Umstände stellen starke Indizien für eine private Nutzung durch den Aktionär dar, ist es doch nicht üblich, dass Mitarbeitende eine Kostenbeteiligung an Fahrzeugen leisten, die sie einzig geschäftlich nutzen. Gemäss dem Kontrollbericht der Vorinstanz konnten die Liebhaberfahrzeuge durch den Aktionär auch privat verwendet werden (Kontrollbericht der ESTV, Ziff. 4.10.2). Dem Aktionär kommt mit einer Beteiligung zu 50 % und der Funktion als Geschäftsführer ohne Weiteres die Verfügungsgewalt über die Liebhaberfahrzeuge zu (E. 5.1). Zweifelsohne verfügt der Aktionär sodann über entsprechende Fachkenntnisse und ist ein Liebhaber von Oldtimern, ist er doch gemäss den Akten seit 1993 als Halter solcher Fahrzeuge eingetragen (Akten der Vorinstanz, 19). Der Website der Beschwerdeführerin kann des Weiteren entnommen werden, dass der Aktionär seit vielen Jahren in der Classic- und Sportcars-Szene anzutreffen ist. Schliesslich dürfen die drei Liebhaberfahrzeuge, die gemäss Angaben der Beschwerdeführerin im Einspracheverfahren mit einem Nummernschild für Veteranenfahrzeuge gefahren werden, aus strassenverkehrsrechtlichen Gründen von vornherein nur zu rein privaten Zwecken genutzt werden (E. 5.1).</w:t>
      </w:r>
    </w:p>
    <w:p>
      <w:r>
        <w:rPr>
          <w:b/>
        </w:rPr>
        <w:t>E. 5.3.2</w:t>
      </w:r>
    </w:p>
    <w:p>
      <w:r>
        <w:t>Gestützt auf diese Indizien ist davon auszugehen, dass die sieben Liebhaberfahrzeuge dem Aktionär während der Steuerperioden 2013 - 2017 von der Beschwerdeführerin «Zurverfügung» gestellt wurden. Nach bundesgerichtlicher Rechtsprechung ist es nicht erforderlich, dass die Fahrzeuge eingelöst oder anderweitig fahrtüchtig sind (E. 5.1; auch zum Folgenden). Es können auch mehrere Fahrzeuge gleichzeitig «Zurverfügung» stehen, auch wenn diese offensichtlich nicht gleichzeitig gefahren werden können. Für die Behauptungen, dass ausgewählte Mitarbeiter die Liebhaberfahrzeuge zur Verhinderung von Standschäden bisweilen haben fahren dürfen und diese Fahrten teilweise in deren Freizeit stattgefunden hätten, liegen keine Indizien vor. Selbst wenn gewissen Fahrten zur Erhaltung der Fahrtüchtigkeit von anderen Personen als dem Aktionär vorgenommen worden wären, würde dies ein «Zuverfügungstellen» nicht von vornherein ausschliessen.</w:t>
      </w:r>
    </w:p>
    <w:p>
      <w:r>
        <w:rPr>
          <w:b/>
        </w:rPr>
        <w:t>E. 5.4</w:t>
      </w:r>
    </w:p>
    <w:p>
      <w:r>
        <w:t>Nach dem Gesagten ist in Bezug auf den Sachverhalt festzustellen, dass die Beschwerdeführerin dem Aktionär während der Steuerperioden 2013 - 2017 sieben Liebhaberfahrzeuge «Zurverfügung» gestellt hat.</w:t>
      </w:r>
    </w:p>
    <w:p>
      <w:r>
        <w:rPr>
          <w:b/>
        </w:rPr>
        <w:t>E. 6</w:t>
      </w:r>
    </w:p>
    <w:p>
      <w:r>
        <w:t>Zu prüfen sind sodann die mehrwertsteuerlichen Folgen, die sich aus dem «Zurverfügungstellen» der sieben Liebhaberfahrzeuge ergeben.</w:t>
      </w:r>
    </w:p>
    <w:p>
      <w:r>
        <w:rPr>
          <w:b/>
        </w:rPr>
        <w:t>E. 6.1.1</w:t>
      </w:r>
    </w:p>
    <w:p>
      <w:r>
        <w:t>Aus Sicht der Beschwerdeführerin ist die Mehrwertsteuer, welche für die Steuerperioden 2013 - 2017 geschuldet ist, um die aufgerechneten Mietgelder zu reduzieren, da die unternehmerische Nutzung eine private Verwendung der Liebhaberfahrzeuge ausschliesse. Eventualiter sei die private Nutzung als Eigenverbrauch in der Höhe von Fr. 6'544.- und Vorsteuerkorrektur von Fr. 523.50 pro Jahr anzuerkennen. Sie begründet ihren Eventualantrag damit, dass es sich bei einer rein privaten Nutzung der Fahrzeuge um eine Steuerumgehung handle, die durch die Vorinstanz zu beweisen sei.</w:t>
      </w:r>
    </w:p>
    <w:p>
      <w:r>
        <w:rPr>
          <w:b/>
        </w:rPr>
        <w:t>E. 6.1.2</w:t>
      </w:r>
    </w:p>
    <w:p>
      <w:r>
        <w:t>Demgegenüber beruft sich die Vorinstanz auf die Praxis, wonach beim «Zurverfügungstellen» von mehr als einem Geschäftsfahrzeug für private Zwecke an eng verbundene Personen eine Leistung vorliege. Es handle sich um eine reine Vermietung an den Aktionär, der einem Lohnempfänger gleichgestellt sei. Damit habe sie die Verwendung der fraglichen Fahrzeuge innerhalb des unternehmerischen Bereichs grundsätzlich anerkannt, was sich auch in der Gewährung des Vorsteuerabzugs auf sämtlichen mit Vorsteuer belasteten Aufwendungen zeige. Damit handle es sich vorliegend um keinen Fall der Steuerumgehung. Betreffend die Bemessung des Mietentgelts müsse praxisgemäss eine Vollkostenrechnung abgerechnet werden.</w:t>
      </w:r>
    </w:p>
    <w:p>
      <w:r>
        <w:rPr>
          <w:b/>
        </w:rPr>
        <w:t>E. 6.2</w:t>
      </w:r>
    </w:p>
    <w:p>
      <w:r>
        <w:t>Mit einer Beteiligung von 50 % an der Beschwerdeführerin gilt der Aktionär ohne Weiteres als eng verbundene Person im Sinne von Art. 26 MWSTV i.V.m. Art. 24 Abs. 2 MWSTG. Der Aktionär verfügte für seine Tätigkeit als Geschäftsführer während der Steuerperioden 2013 - 2017 unbestrittenermassen über ein Geschäftsfahrzeug, für welches die Vorinstanz einen Privatanteil aufgerechnet hat. Mit den sieben Liebhaberfahrzeugen standen dem Aktionär mehr als zwei Fahrzeuge zur privaten Verwendung - das heisst ausserhalb der betrieblichen Sphäre bzw. geschäftlichen Nutzung - «Zurverfügung». Daraus folgt gemäss Praxis und Rechtsprechung, dass es sich beim «Zurverfügungstellen» nicht um eine reine Innenleistung, sondern um ein Leistungsverhältnis zwischen der Beschwerdeführerin und dem Aktionär handelt, das im Grundsatz nicht anders zu behandeln ist, wie ein Leistungsaustausch zwischen einer juristischen Person und einem unabhängigen Dritten (E. 3.2 f.). Für die empfangene Leistung hat der Aktionär kein Entgelt im Sinne eines Lohnabzugs oder Mietentgelts entrichtet. Hingegen wurden Versicherungsprämien und damit ein Teil der Betriebskosten seinem privaten Kontokorrent belastet. Im Jahr 2016 wurden einige Versicherungsprämien für die Liebhaberfahrzeuge über seine private Motorfahrzeugpolice abgerechnet. Diese Zahlungen wurden in der Vollkostenrechnung zwecks Berechnung des Mietentgelts (Drittpreis) der Vorinstanz berücksichtigt. Die Berechnungsweise des Mietentgelts wurde vorliegend nicht beanstandet. Die Vollkostenrechnung der Vorinstanz wurde vom Bundesgericht grundsätzlich als sachgerecht anerkannt (Urteil des BGer 2C_403/2022 vom 12. Dezember 2022 E. 6.5).</w:t>
      </w:r>
    </w:p>
    <w:p>
      <w:r>
        <w:rPr>
          <w:b/>
        </w:rPr>
        <w:t>E. 6.3</w:t>
      </w:r>
    </w:p>
    <w:p>
      <w:r>
        <w:t>Eine Steuerumgehung - wie sie die Beschwerdeführerin mit ihrem Eventualantrag geltend macht - ist vorliegend nicht ersichtlich, zumal die Liebhaberfahrzeuge einen sachlichen Zusammenhang zu zwei der verschiedenen Betriebszweige der Beschwerdeführerin aufweisen und auch aus Sicht der Vorinstanz unternehmerisch genutzt wurden. Es lässt sich daher keine ungewöhnliche, sachwidrige oder absonderliche, den wirtschaftlichen Gegebenheiten völlig unangemessene Rechtsgestaltung erkennen. Es ist auch nicht ersichtlich, dass die Fahrzeuge lediglich zur Steuerersparnis und damit in rechtsmissbräuchlicher Art im Geschäftsvermögen der Beschwerdeführerin gehalten werden. Daher kann offen bleiben, in welchem Umfang die gewählte Rechtsgestaltung zu einer Steuerersparnis geführt hat. Da es sich wie aufgezeigt vorliegend um ein Leistungsverhältnis zwischen der Beschwerdeführerin und dem Aktionär handelt, welches grundsätzlich gleich zu behandeln ist wie eine Leistung einer juristischen Person an eine Drittperson, lässt sich das «Zurverfügungstellen» nicht als Eigenverbrauch qualifizieren, der eine Verwendung durch den Unternehmensträger voraussetzt (E. 3.2.2).</w:t>
      </w:r>
    </w:p>
    <w:p>
      <w:r>
        <w:rPr>
          <w:b/>
        </w:rPr>
        <w:t>E. 6.4</w:t>
      </w:r>
    </w:p>
    <w:p>
      <w:r>
        <w:t>Nach dem Gesagten handelt es sich beim «Zurverfügungstellen» der Liebhaberfahrzeuge an den Aktionär um ein Leistungsverhältnis, für welches die Vorinstanz zu Recht ein Mietentgelt aufgerechnet hat. Eine Steuerumgehung (E. 3.3) respektive ein Eigenverbrauch liegen nicht vor. Die Beschwerde ist damit unbegründet und abzuweisen.</w:t>
      </w:r>
    </w:p>
    <w:p>
      <w:r>
        <w:rPr>
          <w:b/>
        </w:rPr>
        <w:t>E. 7.1</w:t>
      </w:r>
    </w:p>
    <w:p>
      <w:r>
        <w:t>Ausgangsgemäss hat die unterliegende Beschwerdeführerin die Verfahrenskosten zu tragen (Art. 63 Abs. 1 VwVG). Diese sind auf Fr. 2'500.--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7.2</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