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A-4224/2010 vom 22. November 2010</w:t>
      </w:r>
    </w:p>
    <w:p>
      <w:r>
        <w:t>Bundesverwaltungsgericht, 2010-11-22, DE</w:t>
      </w:r>
    </w:p>
    <w:p>
      <w:r>
        <w:rPr>
          <w:b/>
        </w:rPr>
        <w:t xml:space="preserve">Quelle: </w:t>
      </w:r>
      <w:r>
        <w:t>https://mcp.opencaselaw.ch/entscheid/bvger_A-4224_2010</w:t>
      </w:r>
    </w:p>
    <w:p>
      <w:r>
        <w:t>FR: TAF A-4224/2010 du 22 novembre 2010</w:t>
      </w:r>
    </w:p>
    <w:p>
      <w:r>
        <w:t>IT: TAF A-4224/2010 del 22 novembre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20'000.-- wird den Beschwerdeführenden zurückerstattet.</w:t>
      </w:r>
    </w:p>
    <w:p>
      <w:r>
        <w:rPr>
          <w:b/>
        </w:rPr>
        <w:t>E. 3</w:t>
      </w:r>
    </w:p>
    <w:p>
      <w:r>
        <w:t>Die Vorinstanz wird verpflichtet, den Beschwerdeführenden eine Parteientschädigung in Höhe von Fr. 10'000.-- zu bezahlen.</w:t>
      </w:r>
    </w:p>
    <w:p>
      <w:r>
        <w:rPr>
          <w:b/>
        </w:rPr>
        <w:t>E. 4</w:t>
      </w:r>
    </w:p>
    <w:p>
      <w:r>
        <w:t>Dieses Urteil geht an: die Beschwerdeführenden (Einschreiben) die Vorinstanz (Ref-Nr. ...; Einschreiben) Der vorsitzende Richter: Der Gerichtsschreiber: Michael Beusch Keita Mutombo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