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A-4166/2010 vom 17. Mai 2011</w:t>
      </w:r>
    </w:p>
    <w:p>
      <w:r>
        <w:t>Bundesverwaltungsgericht, 2011-05-17, DE</w:t>
      </w:r>
    </w:p>
    <w:p>
      <w:r>
        <w:rPr>
          <w:b/>
        </w:rPr>
        <w:t xml:space="preserve">Quelle: </w:t>
      </w:r>
      <w:r>
        <w:t>https://mcp.opencaselaw.ch/entscheid/bvger_A-4166_2010</w:t>
      </w:r>
    </w:p>
    <w:p>
      <w:r>
        <w:t>FR: TAF A-4166/2010 du 17 mai 2011</w:t>
      </w:r>
    </w:p>
    <w:p>
      <w:r>
        <w:t>IT: TAF A-4166/2010 del 17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für die Behandlung der vorliegenden Beschwerde ist somit gegeben. Das Verfahren vor dem Bundesverwaltungsgericht richtet sich nach den Vorschriften des VwVG, soweit das VGG nichts anderes bestimmt (Art. 37 VGG).</w:t>
      </w:r>
    </w:p>
    <w:p>
      <w:r>
        <w:rPr>
          <w:b/>
        </w:rPr>
        <w:t>E. 1.2</w:t>
      </w:r>
    </w:p>
    <w:p>
      <w:r>
        <w:t>Als Prozessvoraussetzungen - auch Sachurteilsvoraussetzungen ge­nannt - werden die Vorbedingungen bezeichnet, die erfüllt sein müssen, damit die Behörde eine Beschwerde zu behandeln und darüber materiell zu befinden hat (vgl. Thomas Merkli/Arthur Aeschlimann/Ruth Herzog, Kommentar zum bernischen VPRG, Bern 1997, N 6 zu Art. 51 Abs. 2; vgl. auch Alfred Kölz/Isabelle Häner, Verwaltungsverfahren und Verwaltungsrechtspflege des Bundes, 2. Aufl., Zürich 1998, N 410). 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Entscheids in der gleichen Sache (vgl. Kölz/Häner, a.a.O., N 414; Merkli/Aeschlimann/Herzog, a.a.O., N 10 zu Art. 51 Abs. 2). Damit die Rechtsmittelinstanz auf eine Beschwerde eintritt und diese materiell behandelt, müssen die Prozessvoraussetzungen nachgewiesen sein. Die angerufene Behörde prüft sie von Amtes wegen. Die Untersuchungsmaxime gilt jedoch auch hier nicht unbeschränkt, vielmehr tragen die Beschwerdeführenden eine Substantiierungslast, indem sie das Vorliegen der Prozessvoraussetzungen darzulegen haben (vgl. auch Urteil des Bundesverwaltungsgerichts A-6538/2010 vom 20. Januar 2011 E. 1.2.2; Kölz/Häner, a.a.O., N 410, mit weiteren Hinweisen). Wenn die Beschwerdeinstanz die Prozessvoraussetzungen als erfüllt erachtet, stellt sie dies im Allgemeinen nicht gesondert (in einer Zwischenverfügung), sondern mit dem Entscheid in der Sache fest. Fehlt eine Prozessvoraussetzung, erlässt sie einen Nichteintretensentscheid (Urteil des Bundesverwaltungsgerichts A-1274/2008 vom 1. September 2009 E. 2.1; Kölz/ Häner, a.a.O., N 410; Merk­li/Aeschlimann/Herzog, a.a.O., N 6 zu Art. 51 Abs. 2).</w:t>
      </w:r>
    </w:p>
    <w:p>
      <w:r>
        <w:rPr>
          <w:b/>
        </w:rPr>
        <w:t>E. 1.2.1</w:t>
      </w:r>
    </w:p>
    <w:p>
      <w:r>
        <w:t>Die Beschwerde an das Bundesverwaltungsgericht ist laut Art. 50 Abs. 1 VwVG innerhalb von 30 Tagen nach Eröffnung der Verfügung einzureichen. Berechnet sich eine Frist nach Tagen und bedarf sie der Mitteilung an die Parteien, so beginnt sie an dem auf ihre Mitteilung folgenden Tage zu laufen (Art. 20 Abs. 1 VwVG).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vgl. Bernard Maître/Vanessa Thalmann [Fabia Bochsler/Kaspar Plüss] in: Waldmann/Weissenberger [Hrsg.], Praxiskommentar zum Bundesgesetz über das Verwaltungsverfahren [nachfolgend: Praxiskommentar], Zürich/Ba­sel/Genf 2009, N 5 zu Art. 21; André Moser/Michael Beusch/Lorenz Kneubühler, Prozessieren vor dem Bundesverwaltungsgericht, Basel 2008, Rz. 2.128 f., auch zum Folgenden). Art. 21 Abs. 1 VwVG schreibt für die Fristwahrung bei postalischen Eingaben die Benutzung der Schweizer Post vor. Demzufolge ist die Frist - wenn die Partei einen anderen Zustelldienst als die schweizerische Post benutzt - nur eingehalten, wenn die Eingabe am letzten Tag der Frist bei der Behörde eintrifft oder der schweizerischen Post für die Weiterbeförderung übergeben wird. Die Aufgabe der Beschwerde innert Frist bei einer ausländischen Poststelle oder einem ausländischen Kurierdienst genügt grundsätzlich nicht zur Annahme der Rechtzeitigkeit (Urteil des Bundesverwaltungsgerichts A-926/2009 vom 2. März 2009, bestätigt durch das Bundesgerichtsurteil 2C_193/2009 vom 28. August 2009 E. 3.3 und 3.5; Entscheid der Eidgenössischen Personalrekurskommission vom 7. November 2001, PRK 2001-012, veröffentlicht in Verwaltungspraxis der Bundesbehörden [VPB] 66.36 E. 3; Urs Peter Cavelti, in: Auer/Müller/Schindler [Hrsg.], Kommentar zum Bundesgesetz über das Verwaltungsverfahren [nachfolgend VwVG-Kommentar], Zürich/St. Gallen 2008, N 4 zu Art. 21). Die sozialver­sicherungsrechtliche Abteilung des Bundesgerichts hat dagegen in einem Entscheid, der in VPB 66.36 E. 3 als "cas isolé" bezeichnet worden ist, festgehalten, dass eine Verfügung, die sich gegen einen im Ausland lebenden Versicherten richte, in ihrer Rechtsmittelbelehrung den Hinweis auf Art. 21 Abs. 1 VwVG enthalten müsse, falls sich die Beschwerdeinstanz auf diese Regelung berufen wolle (BGE 125 V 65 E. 4). Während die Behörden die Beweislast dafür tragen, dass ihre Ver­fü­gun­gen rechtsgültig eröffnet wurden, hat der Beschwerdeführer den Beweis zu erbringen, dass er die Beschwerdefrist eingehalten hat (Stefan Vogel, VwVG-Kommentar, a.a.O., N 8 zu Art. 50). Die Rechtsmittelfristen sind die wichtigsten gesetzlichen Fristen (vgl. BGE 126 III 31 E. 1b). Sie können nicht erstreckt werden (Art. 22 Abs. 1 VwVG).</w:t>
      </w:r>
    </w:p>
    <w:p>
      <w:r>
        <w:rPr>
          <w:b/>
        </w:rPr>
        <w:t>E. 1.2.2</w:t>
      </w:r>
    </w:p>
    <w:p>
      <w:r>
        <w:t>Vorliegend ist die angefochtene Verfügung vom 20. April 2010 der Zustellungsbevollmächtigten Bill Isenegger Ackermann AG am 26. April 2010 zugestellt worden. Der Beschwerdeführer hat die weitergeleitete Verfügung gemäss eigener Aussage und laut "Tracking Detail" von "UPS" am 28. April 2010 erhalten. Mit Schreiben vom 24. Mai 2010, das er am 25. Mai 2010 der US-Post übergeben hatte, erhob der Beschwerdeführer die vorliegend zu beurteilende Beschwerde. Gemäss "Track &amp; Confirm" des United States Postal Service hat diese Sendung die schweizerische Grenze am 29. Mai 2010 um 13.19 Uhr erreicht, wurde am 31. Mai 2010 weiterbefördert und am 1. Juni 2010 der ESTV zugestellt. In der Rechtsmittelbelehrung der angefochtenen Verfügung wurde der Inhalt von Art. 21 Abs. 1 VwVG nicht wiedergegeben. Der Beschwerdeführer machte geltend, dass vorliegend die Vermögenswerte seiner Mutter betroffen seien, weshalb er für die Erhebung der Beschwerde mit ihr habe kommunizieren müssen. Da seine Mutter in A._______ lebe und nur chinesisch spreche, habe dies einige Zeit in Anspruch genommen. Er habe sich bemüht, dies möglichst innert Frist zu tun. Im Weiteren hat er nichts vorgebracht, was die Einhaltung der Frist belegen würde. Nach dem vorstehend Ausgeführten ist die Beschwerde somit nach Ablauf der 30-tägigen Beschwerdefrist der schweizerischen Post übergeben worden. Ob deshalb auf die Beschwerde mangels Einhaltung der Beschwer­defrist nicht einzutreten wäre oder ob sich das Bundesverwaltungsgericht als Beschwerdeinstanz - wegen des fehlenden Hinweises auf Art. 21 Abs. 1 VwVG in der Rechtsmittelbelehrung der angefochtenen Verfügung - gegenüber dem in den USA lebenden Beschwerdeführer nicht auf die genannte Bestimmung berufen dürfte und daher davon ausgehen müsste, die Beschwerde sei rechtzeitig eingegangen, kann vorliegend offen bleiben. Wie nachfolgend zu zeigen sein wird, ist die Beschwerde aus materiellen Gründen ohnehin abzuweisen.</w:t>
      </w:r>
    </w:p>
    <w:p>
      <w:r>
        <w:rPr>
          <w:b/>
        </w:rPr>
        <w:t>E. 1.3.1</w:t>
      </w:r>
    </w:p>
    <w:p>
      <w:r>
        <w:t>Der Beschwerdeführer bringt vor, die Verfügung der ESTV stelle einen schwerwiegenden Bruch des zwischen der Bank und seiner Mutter abgeschlossenen Vertrags dar ("your original decision represents a serious breach of contract between the bank and my mother"). Dazu ist Folgendes festzuhalten: Ein Vertrag besteht lediglich zwischen der UBS AG und dem Beschwerdeführer; ein Vertragsverhältnis zwischen seiner Mutter und der Bank ist aus den Akten nicht ersichtlich. Die ESTV ist aber ohnehin nicht Vertragspartei, weshalb sie durch den Erlass ihrer Verfügung keinen Vertragsbruch begehen konnte. Soweit der Beschwerdeführer mit seinem Einwand einen Vertragsbruch durch die UBS AG beanstanden möchte, ist ihm entgegenzuhalten, dass dieses Vorbringen sein privatrechtliches Verhältnis zur UBS AG beschlägt und daher im vorliegenden Verfahren nicht gehört werden könnte. Mangels Zuständigkeit des Bundesverwaltungsgerichts wäre darauf nicht einzutreten (vgl. auch Urteil des Bundesverwaltungsgerichts A-6792/2010 vom 4. Mai 2011 E. 2.6.1).</w:t>
      </w:r>
    </w:p>
    <w:p>
      <w:r>
        <w:rPr>
          <w:b/>
        </w:rPr>
        <w:t>E. 1.3.2</w:t>
      </w:r>
    </w:p>
    <w:p>
      <w:r>
        <w:t>Weiter macht der Beschwerdeführer geltend, durch die genannte Verfügung der ESTV werde die durch die Bankgesetzgebung gewährte Privatsphäre seiner Mutter schwerwiegend verletzt ("your original decision represents [...] a serious violation of her privacy as guaranteed by your own world-respected banking laws"). Worauf seine Rüge abzielt, ist nicht klar. Wollte der Beschwerdeführer eine Verletzung des "Schweizerischen Bankgeheimnisses" durch die UBS AG geltend machen, ist wiederum darauf hinzuweisen, dass dadurch nur sein privatrechtliches Verhältnis zur Bank betroffen wäre, weshalb im vorliegenden Verfahren auf diese Rüge nicht einzutreten wäre. Falls er einwenden wollte, die ESTV habe durch den Erlass ihrer Verfügung das sogenannte "Schweizerische Bankgeheimnis" verletzt oder gegen Art. 8 Abs. 1 der Konvention vom 4. November 1950 zum Schutze der Menschenrechte und Grundfreiheiten (EMRK, SR 0.101), wonach "jede Person" das Recht auf Achtung ihres Privatlebens hat, verstossen, ist Folgendes festzuhalten: Das Bundesverwaltungsgericht hat - wie erwähnt (Sachverhalt Bst. I) - am 15. Juli 2010 das Grundsatzurteil A-4013/2010 betreffend die Gültigkeit des Staatsvertrags 10 gefällt. Darin führte das Bundesverwaltungsgericht aus, der Staat werde durch Art. 8 Abs. 1 EMRK verpflichtet, Eingriffe in die Privatsphäre zu unterlassen und diese durch Gesetzgebung, Rechtspre­chung und Verwaltung zu gewähren. In der Schweiz erfolge der Schutz der Vermögensverhältnisse gegen unberechtigte Einblicke Dritter u.a. durch das Bankgeheimnis (E. 5.4.4). Weiter kam das Bundesverwaltungsgericht zum Schluss, der Staatsvertrag 10 gehe nach völkerrechtlichen Kollisionsregeln der EMRK vor (E. 6.3). Selbst wenn die EMRK als europäischer ordre public in einem Überordnungsverhältnis zu spezielleren Verträgen stehen sollte, was im genannten Entscheid offen gelassen wurde (E. 6.4), stellte der Staatsvertrag 10 eine genügende gesetzliche Grundla­ge dar, um in Art. 8 Abs. 1 EMRK einzugreifen (E. 6.5). Der Staatsvertrag 10 sei daher für das Bundesverwaltungsgericht im Sinn von Art. 190 BV verbindlich. Innerstaatliches Recht - also auch die Bankge­setzgebung - und innerstaatliche Praxis könnten ihm nicht entgegengehalten werden (E. 6.7). Im Lichte dieses Urteils zielt der Einwand des Beschwerdeführers von vornherein ins Leere, weshalb nicht weiter darauf einzugehen ist.</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[bzw. BVGE 2010/40]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A-6721/2010 vom 4. Februar 2011 E. 2.1).</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(vorliegend geht es um die Frage der wirtschaftlichen Berechtigung am betreffenden Konto). Aus­reichend ist,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(bestätigt im Urteil des Bundesverwaltungsgerichts A-6636/2010 vom 2. Mai 2011 E. 2.2).</w:t>
      </w:r>
    </w:p>
    <w:p>
      <w:r>
        <w:rPr>
          <w:b/>
        </w:rPr>
        <w:t>E. 3.1</w:t>
      </w:r>
    </w:p>
    <w:p>
      <w:r>
        <w:t>Massgeblich für die Auslegung des Staatsvertrags 10 ist der Wortlaut der englischen Originalversion (Urteil des Bundesverwaltungsgerichts A-4013/2010 vom 15. Juli 2010 E. 7.1). Nach Ziff. 1 Bst. A des Anhangs zum Staatsvertrag 10 fallen (unter anderen) folgende Personen unter das Amtshilfeersuchen: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Die deutsche (nicht massgebende) Übersetzung lautet: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w:t>
      </w:r>
    </w:p>
    <w:p>
      <w:r>
        <w:rPr>
          <w:b/>
        </w:rPr>
        <w:t>E. 3.2</w:t>
      </w:r>
    </w:p>
    <w:p>
      <w:r>
        <w:t>In Ziff. 2/A/b des Anhangs zum Staatsvertrag 10 sind schliesslich die Kriterien zu den Kontoeigenschaften aufgeführt, welche bestimmen, wann ein "Betrugsdelikt und dergleichen" vorliegt und dementsprechend Amts­hilfe zu leisten ist. Auch hier ist bei Unklarheiten die englische Originalversion massgeblich. Laut der deutschen Übersetzung ist erforderlich, dass die vom Amtshilfegesuch betroffene Person während dreier aufeinanderfolgender Jahre in der Zeitspanne von 1999 bis 2010 kein sogenanntes Formular "W-9" eingereicht hat. Zudem muss auf dem fraglichen UBS-Konto innerhalb von drei aufeinanderfolgenden Jahren von 1999 bis 2010 ein jährliches Durchschnittseinkommen von mehr als Fr. 100'000.-- generiert worden sein. Als Einkünfte gelten das "Bruttoeinkommen" (Zinsen und Dividenden) und Kapitalgewinne, welche als 50 % der Bruttoverkaufserlöse berechnet werden (Urteil des Bundesverwaltungsgerichts A-4013/2010 vom 15. Juli 2010 E. 8.3.1 ff.).</w:t>
      </w:r>
    </w:p>
    <w:p>
      <w:r>
        <w:rPr>
          <w:b/>
        </w:rPr>
        <w:t>E. 4</w:t>
      </w:r>
    </w:p>
    <w:p>
      <w:r>
        <w:t>Vorliegend bestreitet der Beschwerdeführer die wirtschaftliche Berechtigung am fraglichen UBS-Konto. Das Bundesverwaltungsgericht hat sich in einem Pilotentscheid zu einem Fall der Kategorie 2/B/b mit der Auslegung des Begriffs "wirtschaftlich berechtigt" bzw. "beneficially owned" auseinandergesetzt. In diesem Piloturteil A-6053/2010 vom 10. Januar 2011 legte das Bundesverwaltungsgericht den Begriff der wirtschaftlichen Berechtigung an "offshore company accounts" aus und hielt dazu insbesondere Folgendes fest: Das Identifikationskriterium "beneficially owned" im Staatsvertrag 10 habe die Funktion, sicherzustellen, dass Kontoinformationen von einer "US Person" an die amerikanischen Steuerbehörden weitergeleitet würden, wenn jene steuertechnisch ein körperschaftliches Gebilde vorgeschoben habe, um ihre Deklarationspflichten für das sich auf dem Konto befindliche Vermögen und für die daraus erzielten Einkünfte zu umgehen. Daraus schloss das Gericht, dass für die Beurteilung, ob eine wirtschaftliche Berechtigung als Identifikationskriterium der Kategorie 2/B/b angenommen werden müsse, entscheidend sei, inwiefern die in das Amtshilfeverfahren einbezogene Person das auf dem UBS-Konto der Offshore-Gesellschaft gelegene Vermögen und die daraus erzielten Einkünfte durch den formellen Rahmen der Gesellschaft hindurch wirtschaftlich kontrollieren und darüber habe verfügen können. Wenn die betroffene Person die Entscheidungsbefugnis darüber gehabt habe, wie das Vermögen verwaltet und wie dieses oder die daraus erzielten Einkünfte verwendet worden seien, sei die wirtschaftliche Berechtigung am UBS-Konto im Sinn von Ziff. 1 Bst. B des Anhangs zum Staatsvertrag 10 als gegeben zu betrachten. Ob und in welchem Umfang die wirtschaftliche Verfügungsmacht und die Kontrolle über das auf dem UBS-Konto gelegene Vermögen und über die daraus erzielten Einkünfte tatsächlich bestanden hätten, sei anhand des rein Faktischen (sog. "substance over form"-Betrachtung) zu beurteilen (Urteil des Bundesverwaltungsgerichts A-6053/2010 vom 10. Januar 2011 E. 7.3.2; ebenso Urteil des Bundesverwaltungsgerichts A-6672/2010 vom 24. Februar 2011 E. 4.1). Wie vorstehend unter E. 3.1 ausgeführt, setzt Ziff. 1 Bst. A des Anhangs zum Staatsvertrag 10 für die Kategorie 2/A/b u.a. voraus, dass die vom Amtshilfeverfahren betroffene Person das UBS-Konto während des mass­geblichen Zeitpunkts direkt hielt und daran wirtschaftlich berechtigt ("beneficially owned") war. Das Bundesverwaltungsgericht gelangte in seinem Urteil A-6672/2010 vom 24. Februar 2011 zum Ergebnis, dass der Begriff "beneficially owned" für die Kategorie 2/A/b nicht anders auszulegen sei als für die Kategorie 2/B/b; mithin sei entscheidend, dass die Person, welche das Konto gehalten habe, auch unter Beurteilung des rein Faktischen die wirtschaftliche Verfügungsmacht und Kontrolle über das sich auf dem UBS-Konto befindliche Vermögen und die daraus erzielten Einkünfte innegehabt habe (Urteil des Bundesverwaltungsgerichts A-6672/2010 vom 24. Februar 2011 E. 4.2). Diese Rechtsprechung wurde mehrmals bestätigt (letztmals mit Urteil A-6636/2010 vom 2. Mai 2011 E. 4.2). Für das Bundesver­wal­tungsgericht besteht kein Anlass, von dieser Rechtsprechung abzuweichen.</w:t>
      </w:r>
    </w:p>
    <w:p>
      <w:r>
        <w:rPr>
          <w:b/>
        </w:rPr>
        <w:t>E. 5.1</w:t>
      </w:r>
    </w:p>
    <w:p>
      <w:r>
        <w:t>Laut Verfügung der Vorinstanz sei den Bankunterlagen zu ent­neh­men, dass der Beschwerdeführer während des massgeblichen Zeitraums in den USA seinen Wohnsitz gehabt habe. An der Bankbeziehung mit der Stammnummer [...], die auf seinen Namen gelautet habe, sei er wirtschaftlich berechtigt gewesen. Es lägen keine Hinweise vor, dass während des massgebenden Zeitraums ein Formular "W-9" eingereicht worden sei. Der Gesamtwert des besagten Kontos habe am 31. De­zember 2001 die massgebliche Grenze von Fr. 1'000'000.-- überstiegen. Im Jahr 2007 seien Kapitalgewinne von mindestens Fr. 787'439.-- erzielt worden und da­mit im Rahmen von drei aufeinanderfolgenden Jahren Durchschnittseinkünfte von mehr als Fr. 100'000.-- pro Jahr. Dementsprechend seien alle gemäss Anhang zum Staatsvertrag 10 massgebenden Kriterien für die Kategorie 2/A/b erfüllt.</w:t>
      </w:r>
    </w:p>
    <w:p>
      <w:r>
        <w:rPr>
          <w:b/>
        </w:rPr>
        <w:t>E. 5.2</w:t>
      </w:r>
    </w:p>
    <w:p>
      <w:r>
        <w:t>Der Beschwerdeführer bestreitet, am fraglichen UBS-Konto wirtschaftlich berechtigt gewesen zu sein; das Vorliegen der übrigen Identifikationskriterien ist unbestritten. Er trägt weiter vor, die wirkliche Inhaberin des Kontos sei seine Mutter. Von ihrem Bankkonto in A._______ stammten auch die auf dem UBS-Konto liegenden Vermögenswerte. Er selbst habe weder von diesem Konto Bezüge getätigt noch sonst in irgendeiner Weise davon profitiert. Sämtliche Vermögenswerte seien wieder auf das persönliche Konto seiner Mutter in A._______ transferiert worden. Seine Mutter hätte auch einem anderen Fa­milienmitglied die Unterschriftsberechtigung über das zur Diskussion stehende UBS-Konto erteilen können. Die Wahl sei auf ihn gefallen, da er zur fraglichen Zeit besser verfügbar gewesen sei als andere Familienmitglieder. Seine Mutter habe stets in A._______ gelebt; es bestünden keinerlei Verbindungen zwischen ihr und den USA oder deren Gesetzgebung. Seine Mutter habe auch nie einen Steuerbetrug oder eine Steuerhinterziehung begangen, weder in den USA noch in A._______.</w:t>
      </w:r>
    </w:p>
    <w:p>
      <w:r>
        <w:rPr>
          <w:b/>
        </w:rPr>
        <w:t>E. 5.3</w:t>
      </w:r>
    </w:p>
    <w:p>
      <w:r>
        <w:t>Die Anhaltspunkte für die Annahme der Vorinstanz, der Beschwerdeführer sei als Inhaber des besagten UBS-Kontos daran wirtschaftlich berechtigt, stützen sich auf die von der UBS AG übermittelten Kontounterlagen. Darin findet sich u.a. das Dokument "Basic document for account/ custody account relationship", in dem der Beschwerdeführer als Kontoinhaber aufgeführt ist und das Dokument entsprechend unterzeichnet hat ([...]). Ebenso ist im Formular A ("Verification of the beneficial owner's identity") der Beschwerdeführer als "contracting partner" aufgeführt ([...]). Bereits in einem älteren Formular A ("Declaration on opening an account or securities account"), das der Beschwerdeführer anlässlich der Kontoeröffnung beim damaligen Schweizerischen Bankverein unterzeichnet hatte, ist er - der Beschwerdeführer - als wirtschaftlich Berechtigter aufgeführt ([...]). Der Schweizerische Bankverein fusionierte 1998 mit der Schweizerischen Bankgesellschaft, wodurch die UBS AG entstanden ist. Auch die weiteren Unterlagen (Passkopien des Beschwerdeführers, von ihm erteilte Vollmachten und von ihm gewünschte Investment Strategie etc.) liefern weitere Anhaltspunkte für die wirtschaftliche Berechtigung des Beschwerdeführers am betreffenden Konto. Die Vorinstanz durfte daher davon aus­gehen, dass der Beschwerdeführer über die besagten Vermögens­werte nicht nur rechtliche Verfügungsmacht hatte, son­dern an diesen ebenso wirtschaftlich berechtigt war. Bei dieser Sachlage obliegt es dem Beschwerdeführer, die Annahme der Vorinstanz, dass er in seiner Eigenschaft als Inhaber des UBS-Kontos an den dort deponierten Vermögenswerten auch wirtschaftlich berechtigt gewesen sei, mittels Urkunden klarerweise und entscheidend zu entkräften (vgl. E. 2.1 f.).</w:t>
      </w:r>
    </w:p>
    <w:p>
      <w:r>
        <w:rPr>
          <w:b/>
        </w:rPr>
        <w:t>E. 5.4</w:t>
      </w:r>
    </w:p>
    <w:p>
      <w:r>
        <w:t>Der Beschwerdeführer macht geltend, dass die Vermögenswerte auf dem fraglichen UBS-Konto von einem früheren Konto seiner Mutter stammten und dass es sich dabei ausschliesslich um ihre Einkünfte handle und die Gelder auch wieder an sie zurückgeflossen seien. Diese Erklärung zur Herkunft der Gelder spielt vorliegend keine Rolle und besagt nichts über die wirtschaftliche Berechtigung an den Ver­mögenswerten im fraglichen Zeitraum. Zudem handelt es sich um reine Behauptungen, die nicht belegt sind. Auch alleine aus dem Umstand, dass - soweit aus den Bankunterlagen ersichtlich - der Beschwerdeführer keine Vermö­gens­wer­te vom fraglichen Konto abgehoben hat, lässt sich nichts zu seinen Gunsten ableiten. Dass der Beschwerdeführer als Kontoinhaber an den fraglichen Vermögenswerten wirtschaftlich nicht berechtigt gewesen sein sollte, wird lediglich behauptet und nicht belegt. Der Nachweis der fehlenden wirtschaftlichen Berechtigung müsste jedoch - wie bereits mehrfach erwähnt - durch einen entsprechenden Urkundenbeweis erbracht werden, der hier nicht gegeben ist. Für eine angebliche wirtschaftliche Berechtigung seiner Mutter finden sich in den Akten keine Hinweise.</w:t>
      </w:r>
    </w:p>
    <w:p>
      <w:r>
        <w:rPr>
          <w:b/>
        </w:rPr>
        <w:t>E. 6</w:t>
      </w:r>
    </w:p>
    <w:p>
      <w:r>
        <w:t>Im Ergebnis sind in Bezug auf den Beschwerdeführer alle Vor­aus­set­zun­gen gemäss Ziff. 1 Bst. A des Anhangs zum Staatsvertrag 10 (vgl. E. 3.1 und 5.1) erfüllt, und es liegt ein begründeter Verdacht auf "fortgesetzte und schwere Steuerdelikte" gemäss Ziff. 2 Bst. A/b des Anhangs zum Staatsvertrag 10 (vgl. E. 3.2 und 5.1) vor, weshalb Amtshilfe zu gewähren ist. Die Beschwerde ist damit abzuweisen.</w:t>
      </w:r>
    </w:p>
    <w:p>
      <w:r>
        <w:rPr>
          <w:b/>
        </w:rPr>
        <w:t>E. 7</w:t>
      </w:r>
    </w:p>
    <w:p>
      <w:r>
        <w:t>Ausgangsgemäss hat der unterliegende Beschwerdeführer die Verfahrenskosten zu tragen (Art. 63 Abs. 1 VwVG). Diese sind - insbesondere unter Berücksichtigung der Kosten für die wiederholten konsularischen Zustellungen - auf Fr. 19'000.-- festzulegen (vgl. Art. 2 Abs. 1 i.V.m. Art. 4 des Reglements vom 21. Februar 2008 über die Kosten und Entschä­digungen vor dem Bundesverwaltungsgericht [VGKE, SR 173.320.2]) und mit dem geleisteten Kostenvorschuss in der Höhe von Fr. 20'050.-- zu verrechnen. Der Überschuss von Fr. 1'050.-- ist dem Beschwerdeführer zurückzuerstatten. Eine Parteientschädigung ist nicht zuzusprechen (vgl. Art. 64 Abs. 1 VwVG e contrario).</w:t>
      </w:r>
    </w:p>
    <w:p>
      <w:r>
        <w:rPr>
          <w:b/>
        </w:rPr>
        <w:t>E. 8</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