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A-415/2021 vom 29. Juni 2022</w:t>
      </w:r>
    </w:p>
    <w:p>
      <w:r>
        <w:t>Bundesverwaltungsgericht, 2022-06-29, FR</w:t>
      </w:r>
    </w:p>
    <w:p>
      <w:r>
        <w:rPr>
          <w:b/>
        </w:rPr>
        <w:t xml:space="preserve">Quelle: </w:t>
      </w:r>
      <w:r>
        <w:t>https://mcp.opencaselaw.ch/entscheid/bvger_A-415_2021</w:t>
      </w:r>
    </w:p>
    <w:p>
      <w:r>
        <w:t>FR: TAF A-415/2021 du 29 juin 2022</w:t>
      </w:r>
    </w:p>
    <w:p>
      <w:r>
        <w:t>IT: TAF A-415/2021 del 29 giugno 2022</w:t>
      </w:r>
    </w:p>
    <w:p>
      <w:pPr>
        <w:pStyle w:val="Heading2"/>
      </w:pPr>
      <w:r>
        <w:t>Regeste</w:t>
      </w:r>
    </w:p>
    <w:p>
      <w:r>
        <w:t>Assistance administrative</w:t>
      </w:r>
    </w:p>
    <w:p>
      <w:pPr>
        <w:pStyle w:val="Heading2"/>
      </w:pPr>
      <w:r>
        <w:t>Erwägungen</w:t>
      </w:r>
    </w:p>
    <w:p>
      <w:r>
        <w:rPr>
          <w:b/>
        </w:rPr>
        <w:t>E. 5.1.1</w:t>
      </w:r>
    </w:p>
    <w:p>
      <w:r>
        <w:t>Dans un premier grief, les recourantes se prévalent d'une violation des art. 20 al. 3 LAAF et 28 par. 3 CDI CH-FR, à forme d'une absence de consentement à la transmission des données à un Etat tiers. Elles soulignent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elles,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les recourantes se méprennent sur le sens de l'art. 20 al. 3 LAAF, dont le libellé contredit leurs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Les décisions entreprises limitent en outre clairement l'utilisation desdits renseignements à l'état de fait décrit dans la demande du 11 mai 2016. Elles précisent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des recourantes est rejeté.</w:t>
      </w:r>
    </w:p>
    <w:p>
      <w:r>
        <w:rPr>
          <w:b/>
        </w:rPr>
        <w:t>E. 5.2.1</w:t>
      </w:r>
    </w:p>
    <w:p>
      <w:r>
        <w:t>Par un second moyen, les recourantes soutiennent que les informations dont la transmission est envisagée seraient dépourvues de pertinence vraisemblable. Elles exposent à cet appui que les comptes bancaires en cause, dont C._______SA était titulaire, sont liés à des trusts irrévocables et discrétionnaires. Se prévalant d'une jurisprudence du TAF datée de 2011 (notamment arrêt du TAF A-7013/2010 du 18 mars 2011), elles arguent que les caractéristiques précitées des trusts, combinées au fait qu'aucune distribution systématique et/ou sur demande des avoirs des trusts n'aurait été octroyée en faveur d'un bénéficiaire, feraient obstacle à toute transmission d'informations y relatives. Cela étant, les recourantes plaident également que les bénéficiaires des trusts ne seraient pas des sujets fiscaux ; Monsieur D._______, settlor du trust 1, serait décédé sans laisser d'héritiers, et les bénéficiaires du trust 2 seraient des (...) exonérées d'impôt.</w:t>
      </w:r>
    </w:p>
    <w:p>
      <w:r>
        <w:rPr>
          <w:b/>
        </w:rPr>
        <w:t>E. 5.2.2</w:t>
      </w:r>
    </w:p>
    <w:p>
      <w:r>
        <w:t>Le Tribunal relève tout d'abord que les pièces produites par les recourantes ne corroborent pas, ou que partiellement, leurs allégations, l'absence de distributions des avoirs du trust ou d'assujettissement fiscal des bénéficiaires, en particulier,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w:t>
      </w:r>
    </w:p>
    <w:p>
      <w:r>
        <w:rPr>
          <w:b/>
        </w:rPr>
        <w:t>E. 5.2.3</w:t>
      </w:r>
    </w:p>
    <w:p>
      <w:r>
        <w:t>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 En conséquence, le grief des recourantes est rejeté.</w:t>
      </w:r>
    </w:p>
    <w:p>
      <w:r>
        <w:rPr>
          <w:b/>
        </w:rPr>
        <w:t>E. 5.3.1</w:t>
      </w:r>
    </w:p>
    <w:p>
      <w:r>
        <w:t>Dans un dernier grief, les recourantes se plaignent d'une violation de leur droit d'être entendues en lien avec un moyen tiré de la violation du principe de spécialité. Elles reprochent ici à l'autorité inférieure de ne pas leur avoir donné accès aux éléments invoqués par la banque UBS, dans la procédure la concernant, à l'appui de sa dénonciation du principe de spécialité par l'Etat requérant. Elles soutiennent que la consultation de ces éléments du dossier concernant la banque UBS leur serait indispensable pour se défendre utilement, dès lors qu'il serait possible qu'elles en tirent argument et puissent ainsi démontrer la violation du principe précité par les autorités françaises. Pour ces mêmes motifs, les recourantes requièrent, à titre préalable, le droit de consulter les documents utiles et, le cas échéant, de compléter leurs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les recourantes ont eu accès à l'intégralité des pièces des trois dossiers litigieux (cf. Faits, let. H supra). L'AFC ne les a certes pas autorisées à consulter les éléments du dossier concernant la banque UBS en lien avec le principe de spécialité. Cela étant, ce refus de leur donner accès à ces pièces a été prononcé à bon droit, dès lors qu'elles se rapportent à une procédure tierce, d'une part, et que l'AFC n'en a pas fait usage dans la présente procédure, d'autre part. Le Tribunal relève au demeurant que, contrairement à ce qu'invoquent les recourantes, l'accès aux pièces qu'elles réclament ne leur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les recourantes ont eu accès à leurs dossiers et que l'occasion leur a été donnée de se déterminer, le grief tiré de la violation du droit d'être entendu doit être rejeté. Ces mêmes considérations conduisent au rejet de leurs requêtes préalables de consultation de ces mêmes pièces, ainsi qu'à celles tendant à compléter leurs recours après la consultation desdites pièces. A cet égard, il est précisé que de telles requêtes sont en soi problématiques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les recourantes ne le prétendent pas - que les autres conditions matérielles de l'assistance administrative ne seraient pas respectées.</w:t>
      </w:r>
    </w:p>
    <w:p>
      <w:r>
        <w:rPr>
          <w:b/>
        </w:rPr>
        <w:t>E. 6.1</w:t>
      </w:r>
    </w:p>
    <w:p>
      <w:r>
        <w:t>Compte tenu de ce qui précède, les recours sont rejetés. Les recourantes, qui succombent, doivent supporter les frais de procédure, lesquels se montent, compte tenu de la charge de travail liée à la procédure, à Fr. 7'500.- (cf. art. 63 al. 1 PA et art. 4 du règlement du 21 février 2008 concernant les frais, dépens et indemnités fixés par le TAF [FITAF, RS 173.320.2]). Ils seront prélevés sur les avances de frais déjà versées de Fr. 15'000.-. Le solde de Fr. 7'500.- sera restitué aux recourantes, par Fr. 3'750.- chacune,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