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A-4159/2016 vom 21. November 2016</w:t>
      </w:r>
    </w:p>
    <w:p>
      <w:r>
        <w:t>Bundesverwaltungsgericht, 2016-11-21, DE</w:t>
      </w:r>
    </w:p>
    <w:p>
      <w:r>
        <w:rPr>
          <w:b/>
        </w:rPr>
        <w:t xml:space="preserve">Quelle: </w:t>
      </w:r>
      <w:r>
        <w:t>https://mcp.opencaselaw.ch/entscheid/bvger_A-4159_2016</w:t>
      </w:r>
    </w:p>
    <w:p>
      <w:r>
        <w:t>FR: TAF A-4159/2016 du 21 novembre 2016</w:t>
      </w:r>
    </w:p>
    <w:p>
      <w:r>
        <w:t>IT: TAF A-4159/2016 del 21 novembre 2016</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[EleG, SR 734.0] und Art. 31 ff. des Verwaltungsgerichtsgesetzes [VGG, SR 173.32]). Das Verfahren vor dem Bundesverwaltungsgericht richtet sich nach dem Verwaltungsverfahrensgesetz (VwVG, SR 172.021), soweit das VGG nichts anderes bestimmt (Art. 37 VGG).</w:t>
      </w:r>
    </w:p>
    <w:p>
      <w:r>
        <w:rPr>
          <w:b/>
        </w:rPr>
        <w:t>E. 1.2</w:t>
      </w:r>
    </w:p>
    <w:p>
      <w:r>
        <w:t>Der Beschwerdeführer hat sich am vorinstanzlichen Verfahren beteiligt und ist als Adressat der angefochtenen Verfügung, mit welcher ihn die Vorinstanz verpflichtete, der Netzbetreiberin den Sicherheitsnachweis einzureichen,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NIV).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w:t>
      </w:r>
    </w:p>
    <w:p>
      <w:r>
        <w:rPr>
          <w:b/>
        </w:rPr>
        <w:t>E. 4.1</w:t>
      </w:r>
    </w:p>
    <w:p>
      <w:r>
        <w:t>Die Verpflichtung, als Eigentümer einer mit elektrischen Niederspannungsinstallationen ausgestatteten Liegenschaft einen Sicherheitsnachweis zu erbringen, stellt auch der Beschwerdeführer nicht in Frage. Ebenfalls unbestritten ist, dass die formellen Voraussetzungen für eine Übergabe der Angelegenheit von der Netzbetreiberin an die Vorinstanz gemäss Art. 36 Abs. 1 und 3 NIV erfüllt waren. Dasselbe gilt betreffend den ungenutzten Ablauf der von der Vorinstanz angesetzten Frist zur Einreichung des Sicherheitsnachweises.</w:t>
      </w:r>
    </w:p>
    <w:p>
      <w:r>
        <w:rPr>
          <w:b/>
        </w:rPr>
        <w:t>E. 4.2</w:t>
      </w:r>
    </w:p>
    <w:p>
      <w:r>
        <w:t>Der Beschwerdeführer liess zwar die Erledigungsmeldung/den Meldebericht betreffend die periodische Kontrolle einen Tag vor dem Ablauf der von der Vorinstanz angesetzten Frist erstellen, der entsprechende Schlussbericht erfolgte jedoch verspätet. Vor allem aber versäumte es der Beschwerdeführer, den Sicherheitsnachweis rechtzeitig beizubringen bzw. dessen Zustellung an die Netzbetreiberin zu veranlassen. Auf diese Verpflichtung wurde der Beschwerdeführer von der Netzbetreiberin und der Vorinstanz mehrmals aufmerksam gemacht. Sein Vorbringen, er sei davon ausgegangen, der Sicherheitsnachweis werde direkt der Netzbetreiberin zugestellt, ist unbehelflich. Seiner Verantwortung als Grundeigentümer kann sich der Beschwerdeführer nicht mit Verweis auf ein Fehlverhalten des mit der Mängelbehebung beauftragten Elektrounternehmens bzw. des mit der Ausstellung des Sicherheitsnachweises beauftragten Kontrollorgans entziehen. Ein solches könnte allenfalls zivilrechtliche Ansprüche des Beschwerdeführers begründen; seine öffentlich-rechtliche Verpflichtung, den Sicherheitsnachweis fristgerecht zu erbringen, bleibt davon indes unberührt (Urteil des Bundesverwaltungsgerichts [BVGer] A 4041/2015 vom 8. März 2016 E. 4.1 m.w.H.).</w:t>
      </w:r>
    </w:p>
    <w:p>
      <w:r>
        <w:rPr>
          <w:b/>
        </w:rPr>
        <w:t>E. 5</w:t>
      </w:r>
    </w:p>
    <w:p>
      <w:r>
        <w:t>Die Beschwerde des Beschwerdeführers kann sinngemäss als Wiederherstellungsgesuch verstanden werden. Dass er dieses an das Bundesverwaltungsgericht statt an die Vorinstanz richtet, schadet nicht (vgl. Art. 8 Abs. 1 VwVG).</w:t>
      </w:r>
    </w:p>
    <w:p>
      <w:r>
        <w:rPr>
          <w:b/>
        </w:rPr>
        <w:t>E. 5.1</w:t>
      </w:r>
    </w:p>
    <w:p>
      <w:r>
        <w:t>Eine Frist wird wiederhergestellt, wenn die betroffene Partei oder ihre Vertretung unverschuldeterweise abgehalten worden ist, binnen Frist zu handeln, sofern sie unter Angabe des Grundes innert 30 Tagen nach Wegfall des Hindernisses darum ersucht und die versäumte Rechtshandlung nachholt (Art. 24 Abs. 1 VwVG). Ein Versäumnis gilt als unverschuldet, wenn dem Gesuchsteller keine Nachlässigkeit vorgeworfen werden kann und objektive Gründe vorliegen, das heisst solche, auf die er keinen Einfluss nehmen konnte. Als erheblich zu betrachten sind nur solche Gründe, die dem Gesuchsteller auch bei Aufwendung der üblichen Sorgfalt die Wahrung seiner Interessen verunmöglicht oder unzumutbar erschwert hätten. Nach konstanter Rechtsprechung gelten namentlich Unkenntnis der gesetzlichen Vorschriften, Arbeitsüberlastung oder organisatorische Unzulänglichkeiten nicht als unverschuldetes Hindernis. Im Interesse der Rechtssicherheit und eines geordneten Verfahrens darf ein Hinderungsgrund nicht leichthin angenommen werden (Urteile des BVGer A 6863/2015 vom 24. November 2015 E. 1.2 und A 7110/2014 vom 23. März 2015 E. 2.7.1, je m.w.H.). Nach der bundesgerichtlichen Praxis ist die Wiederherstellung nur bei klarer Schuldlosigkeit des Gesuchstellers und seines Vertreters zu gewähren (Urteile des Bundesgerichts [BGer] 2C_795/2016 vom 10. Oktober 2016 E. 4.6.1 und 5G_1/2016 vom 29. März 2016 E. 1.2, je m.w.H.). Ein Krankheitszustand bildet, wenn und solange er jegliches auf die Fristwahrung gerichtetes Handeln verunmöglicht, ein unverschuldetes, zur Wiederherstellung führendes Hindernis. Die Erkrankung muss jedoch so gravierend sein, dass der Rechtsuchende durch sie davon abgehalten wird, selbst innert Frist zu handeln oder eine Drittperson mit der Vornahme der Handlung zu betrauen. Der Gesuchsteller hat darzulegen, weshalb es ihm nicht möglich war, innert Frist zu handeln oder einen Vertreter zu beauftragen, und dies mit einschlägigen Arztzeugnissen zu belegen, wobei die blosse Bestätigung eines Krankheitszustandes und regelmässig selbst einer vollständigen Arbeitsunfähigkeit nicht genügt (vgl. Urteile des BGer 1C_497/2016 vom 27. Oktober 2016 E. 4.2 und 1C_345/2015 vom 14. Juli 2015 E. 4.1, je m.H.). Erkrankt die betroffene Partei eine gewisse Zeit vor Fristablauf, so ist es ihr in aller Regel möglich und zumutbar, ihre Interessen selbst wahrzunehmen oder die Dienste eines Dritten in Anspruch zu nehmen (Urteile des BGer 2C_451/2016 vom 8. Juli 2016 E. 2.2.4 und 2C_1212/2013 vom 28. Juli 2014 E. 6.3, je m.w.H.).</w:t>
      </w:r>
    </w:p>
    <w:p>
      <w:r>
        <w:rPr>
          <w:b/>
        </w:rPr>
        <w:t>E. 5.2</w:t>
      </w:r>
    </w:p>
    <w:p>
      <w:r>
        <w:t>Der Beschwerdeführer war vom 4. bis 6. Mai 2016 zu 100% arbeitsunfähig und danach gemäss eigenen Angaben - und ohne dass ihm für diese Zeit ein ärztliches Zeugnis eine Arbeitsunfähigkeit attestiert - rekonvaleszent. Er legt jedoch nicht dar und es ist nicht ersichtlich, weshalb es ihm nicht möglich gewesen sein soll, den Sicherheitsnachweis bis am 13. Mai 2016 zu erbringen bzw. einen Dritten damit zu betrauen oder wenigstens die Vorinstanz um eine erneute Fristerstreckung zu ersuchen. Das eingereichte Arbeitsunfähigkeitszeugnis legt vielmehr nahe, dass er ab dem 7. Mai 2016 (oder spätestens Montag 9. Mai 2016) wieder arbeitsfähig war, enthält es neben der Dauer des Spitalaufenthaltes doch gesondert die Angaben zur Arbeitsunfähigkeit. Hätte diese über den Spitalaufenthalt hinaus angedauert, wäre ohne Weiteres zu erwarten gewesen, dass dies im Zeugnis festgehalten worden wäre, umso mehr als es am letzten Tag des Spitalaufenthaltes ausgestellt wurde. Inwiefern seine selbständige Erwerbstätigkeit den Beschwerdeführer an der rechtzeitigen Einreichung des Sicherheitsnachweises gehindert haben soll, ist ebenfalls nicht erkennbar, zumal er bereits seit Monaten um seine diesbezügliche Verpflichtung wusste und sich entsprechend hätte organisieren können. Der Beschwerdeführer hat sein sinngemässes Fristwiederherstellungsgesuch im Übrigen wohl verspätet gestellt und die versäumte Handlung nicht rechtzeitig vorgenommen. Die Voraussetzungen für eine Wiederherstellung der von der Vorinstanz angesetzten Frist sind demnach nicht erfüllt.</w:t>
      </w:r>
    </w:p>
    <w:p>
      <w:r>
        <w:rPr>
          <w:b/>
        </w:rPr>
        <w:t>E. 6</w:t>
      </w:r>
    </w:p>
    <w:p>
      <w:r>
        <w:t>Aus den vorstehenden Erwägungen folgt, dass die Vorinstanz die angefochtene Verfügung zu Recht erlassen hat und der Beschwerdeführer dementsprechend weiterhin verpflichtet ist, einen periodischen Sicherheitsnachweis zu erbringen (sofern er dies nicht in der Zwischenzeit getan hat). Die ihm von der Vorinstanz angesetzte Frist zur Einreichung des Sicherheitsnachweises ist inzwischen verstrichen. Es ist ihm deshalb eine neue Frist von zwei Monaten ab Rechtskraft des vorliegenden Urteils anzusetzen, um den geforderten Sicherheitsnachweis der Netzbetreiberin zuzustellen.</w:t>
      </w:r>
    </w:p>
    <w:p>
      <w:r>
        <w:rPr>
          <w:b/>
        </w:rPr>
        <w:t>E. 7</w:t>
      </w:r>
    </w:p>
    <w:p>
      <w:r>
        <w:t>Die dem Beschwerdeführer in der angefochtenen Verfügung auferlegte Gebühr von Fr. 700.-, welche sich im unteren Viertel des Gebührenrahmens befindet, ist gemäss konstanter Rechtsprechung des Bundesverwaltungsgerichts nicht zu beanstanden (vgl. Art. 9 f. der Verordnung vom 7. Dezember 1992 über das Eidgenössische Starkstrominspektorat [SR 734.24] i.V.m. Art. 41 NIV; statt vieler Urteil des BVGer A 2340/2016 vom 30. August 2016 E. 5 m.w.H.; ferner Urteil des BGer 2C_1063/2013 vom 2. Juni 2014 E. 4.2). So war das von der Netzbetreiberin überwiesene Dossier zu prüfen, eine Nachfrist anzusetzen, die Einhaltung der Frist zu kontrollieren und schliesslich eine anfechtbare Verfügung zu erlassen. Daran ändert auch der Umstand nichts, dass die Kosten für die Behebung der Mängel an den elektrischen Niederspannungsinstallationen des Beschwerdeführers offenbar deutlich geringer ausfielen. Die von der Vorinstanz erhobene Gebühr soll den bei jener angefallenen Verwaltungsaufwand decken und steht in keinem Zusammenhang mit den beim Beschwerdeführer anfallenden Instandsetzungskosten.</w:t>
      </w:r>
    </w:p>
    <w:p>
      <w:r>
        <w:rPr>
          <w:b/>
        </w:rPr>
        <w:t>E. 8</w:t>
      </w:r>
    </w:p>
    <w:p>
      <w:r>
        <w:t>Die Beschwerde erweist sich somit als unbegründet und ist deshalb abzuweisen.</w:t>
      </w:r>
    </w:p>
    <w:p>
      <w:r>
        <w:rPr>
          <w:b/>
        </w:rPr>
        <w:t>E. 9</w:t>
      </w:r>
    </w:p>
    <w:p>
      <w:r>
        <w:t>Die Verfahrenskosten werden auf Fr. 800.- festgesetzt (vgl. Art. 1 ff. des Reglements vom 21. Februar 2008 über die Kosten und Entschädigungen vor dem Bundesverwaltungsgericht [VGKE, SR 173.320.2]). Sie sind dem Verfahrensausgang entsprechend dem unterliegenden Beschwerdeführer aufzuerlegen (Art. 63 Abs. 1 und 2 VwVG) und dem von diesem in gleicher Höhe geleisteten Kostenvorschuss zu entnehmen. Der Beschwerdeführer hat als unterliegende Partei keinen Anspruch auf eine Parteientschädigung (Art. 64 Abs. 1 VwVG und Art. 7 Abs. 1 VGKE e contrario). Dasselbe gilt - von vornherein -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