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A-4147/2020 vom 13. Oktober 2023</w:t>
      </w:r>
    </w:p>
    <w:p>
      <w:r>
        <w:t>Bundesverwaltungsgericht, 2023-10-13, IT</w:t>
      </w:r>
    </w:p>
    <w:p>
      <w:r>
        <w:rPr>
          <w:b/>
        </w:rPr>
        <w:t xml:space="preserve">Quelle: </w:t>
      </w:r>
      <w:r>
        <w:t>https://mcp.opencaselaw.ch/entscheid/bvger_A-4147_2020</w:t>
      </w:r>
    </w:p>
    <w:p>
      <w:r>
        <w:t>FR: TAF A-4147/2020 du 13 octobre 2023</w:t>
      </w:r>
    </w:p>
    <w:p>
      <w:r>
        <w:t>IT: TAF A-4147/2020 del 13 ottobre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3.a.(3) di 2'587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La ricorrente censura innanzitutto una grave violazione del suo diritto di essere sentito (cfr. ricorso 19 agosto 2020, punti n. 27-49). A mente della stessa, l'AFC non l'avrebbe infatti informata in tempo utile - contrariamente ai suoi obblighi legali - circa la procedura di assistenza amministrativa in corso, impendendole così di partecipare al procedimento dinanzi l'autorità inferiore. Più precisamente, l'AFC avrebbe delegato al detentore delle informazioni - ovvero la banca - il compito di informare la ricorrente, il quale si sarebbe tuttavia limitato a inviare una raccomandata informativa al suo indirizzo di domicilio in Panama, senza accertarsi - nonostante disponesse dei mezzi per farlo, tenuto conto di come tra la ricorrente e la banca vi era un rapporto contrattuale in essere - del fatto che questa avesse effettivamente preso conoscenza dello scritto. La ricorrente sostiene infatti che tale lettera - a causa delle circostanze straordinarie in relazione all'emergenza sanitaria COVID-19 e meglio della chiusura delle frontiere « lockdown » imposto dalle autorità panamensi - sarebbe giunta a sua conoscenza solo in data 6 luglio 2020. Agli atti nemmeno vi sarebbe la prova della data esatta nella quale la ricorrente avrebbe ricevuto tale missiva. In tal senso, la banca non avrebbe quindi messo in atto tutte le misure in suo potere per informala, in modo che la ricorrente non avrebbe quindi potuto far valere in tempo le sue censure dinanzi all'autorità inferiore e il suo diritto di essere sentito sarebbe stato violato. L'insorgente contesta poi il fatto che l'autorità inferiore abbia agito correttamente procedendo con la pubblicazione sul Foglio ufficiale, prima in data 24 marzo 2020, successivamente in data 21 luglio 2020. Infatti, tenuto conto di come l'art. 14 LAAF prevede un approccio « a cascata » tra i metodi di cui dispone l'autorità inferiore per informare la persona interessata dalla domanda di assistenza e di come la pubblicazione sul Foglio federale costituisca l'ultimo tra questi, la ricorrente sostiene che l'autorità inferiore avrebbe dovuto - prima di procedere attraverso la pubblicazione - valutare se non era possibile informarla in altro modo. In tal senso, non avendo rispettato l'ordine previsto all'art. 14 LAAF, l'autorità inferiore avrebbe quindi violato il suo obbligo di informazione e di conseguenza il diritto di essere sentito della ricorrente. Sempre con riferimento alla pubblicazione sul Foglio federale, l'insorgente critica anche la forma della pubblicazione e meglio il fatto che questa sia stata fatta in forma anonima. A suo dire infatti, una pubblicazione individualizzata avrebbe avuto - nel caso concreto - più possibilità di essere notata. Tali censure di natura formale vanno qui esaminate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3.2.1</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sentenza del TAF A-5662/2020 del 10 maggio 2021 consid. 1.5.2.3). Ai sensi dell'art. 14 cpv. 1 e 2 LAAF, l'AFC deve informare le persone interessate in merito agli elementi essenziali della domanda, così come deve informare le altre persone che, in base agli atti, deve presumere legittimate a ricorrere ai sensi dell'art. 19 cpv. 2 LAAF. Giusta l'art. 14 cpv. 3 LAAF, se la persona di cui all'art. 14 cpv. 1 o 2 LAAF (persona legittimata a presentare ricorso) è domiciliata all'estero, l'AFC chiede al detentore delle informazioni - normalmente la banca - di invitare tale persona a designare un rappresentante autorizzato a ricevere le notificazioni in Svizzera. L'autorità fissa quindi un termine al detentore delle informazioni per prendere contatto con la persona interessata dalla domanda. L'idea alla base di tale delega è quella che il detentore delle informazioni farà tutto ciò che è in suo potere per informare la persona legittimata a ricorrere della procedura assistenziale in corso e questo tenuto conto di come - il primo - ha dei chiari obblighi contrattuali nei confronti di quest'ultima (cfr. sentenza del TF 2C_54/2014 del 2 giugno 2014 consid. 3.3). Tra le possibilità offerte dall'art. 14 LAAF, l'informativa attraverso il detentore delle informazioni ex art. 14 cpv. 3 LAAF rappresenta anche la soluzione più semplice e rapida e questo in quanto lo stesso - normalmente - dispone dei mezzi necessari per mettersi in contatto con i propri clienti (cfr. Messaggio del 6 luglio 2011 a sostengo di una legge sull'assistenza amministrativa fiscale, FF 2011 5587, 5794). Se l'AFC è tenuta a chiedere al detentore delle informazioni di prendere contatto con le persone legittimate a ricorrere, essa non dispone tuttavia di strumenti per obbligarlo ad agire in tal senso (cfr. DTF 145 II 119 consid. 6.2). Anche la dottrina è dello stesso parere, la quale sostiene infatti che non vi sarebbe base legale alcuna secondo la quale il detentore delle informazioni potrebbe essere costretto ad agire e prendere quindi contatto con i suoi clienti (cfr. Charlotte Schoder, Praxiskommentar zum Bundesgesetz über die internationale Amtshilfe in Steuersachen, 2014, n° 165 ad art. 14 LAAF).</w:t>
      </w:r>
    </w:p>
    <w:p>
      <w:r>
        <w:rPr>
          <w:b/>
        </w:rPr>
        <w:t>E. 3.2.2</w:t>
      </w:r>
    </w:p>
    <w:p>
      <w:r>
        <w:t>In assenza di una comunicazione per il tramite del detentore delle informazioni ex art. 14 cpv. 3 LAAF, incombe all'AFC garantire in un altro modo il diritto di essere sentito delle persone legittimare a ricorrere, più precisamente facendo uso degli strumenti di notifica previsti agli art. 14 cpv. 4 e 5 LAAF (cfr. DTF 145 II 119 consid. 7). Per quanto concernel'art. 14 cpv. 4 let. a LAAF, questo prevede che l'AFC può informare direttamente la persona legittimata a ricorrere residente all'estero se è consentito notificare documenti per posta nello stato interessato. Affinché tale disposizione risulti applicabile, è quindi necessario conoscere lo stato nel quale la persona legittimata a ricorrere è domiciliata e questo al fine di determinare se, tra la Svizzera e tale stato, esiste una convenzione internazionale che permette di procedere a una notifica diretta (cfr. DTF 145 II 119 consid. 7.2.1). Una notifica diretta di un atto ufficiale in un paese terzo, senza accordo di quest'ultimo, risulta infatti in una violazione della sovranità fiscale di tale stato (cfr. DTF 142 III 355 consid. 3.3.3). Per quanto concerne invece la possibilità di informare direttamente la persona residente all'estero con il consenso dell'autorità richiedente (art. 14 cpv. 4 let. b LAAF), tale disposizione risulta unicamente applicabile - o perlomeno di interesse - quando la persona interessata dalla domanda ha domicilio o sede sul territorio dello stato che richiede l'assistenza (Schoder, op. cit, n° 168 ad art. 14 LAAF; cfr. Diana Oswald, Verfahrensrechtliche Aspekte der internationale Amtshilfe in Steuersachen, 2015, p. 386). Per quanto concerne invece l'art. 14 cpv. 5 LAAF, tale disposizione prevede che se una persona legittimata a ricorrere non è raggiungibile, l'AFC la informa della domanda per il tramite dell'autorità richiedente o - in alternativa - mediante pubblicazione nel Foglio federale. L'autorità sceglie quindi il modo che, tenuto conto delle circostanze, appare essere più adatto (cfr. DTF 145 II 119 consid. 7.2.2). La notifica mediante pubblicazione sul Foglio federale ha carattere sussidiario rispetto a quella effettuata direttamente dall'autorità richiedente o dall'AFC con il consenso della prima (cfr. art. 14 cpv. 4 LAAF) (cfr. DTF 145 II 119 consid. 7.2; sentenze del TAF A-3951/2015 del 26 aprile 2016 consid. 3.2; A-688/2015 del 22 febbraio 2016 consid. 2). La pubblicazione sul Foglio federale - quando conforme alla legge - crea la presunzione che il destinatario di tale notifica abbia preso conoscenza di quest'ultima (sentenze del TAF A-5540/2013 del 6 gennaio 2014 consid. 2.3; A-6011/2012 del 13 marzo 2013 consid. 2.2.2).</w:t>
      </w:r>
    </w:p>
    <w:p>
      <w:r>
        <w:rPr>
          <w:b/>
        </w:rPr>
        <w:t>E. 3.3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3.4.1</w:t>
      </w:r>
    </w:p>
    <w:p>
      <w:r>
        <w:t>Ora, in concreto e circa la presunta violazione del diritto di essere sentito della qui ricorrente, si rileva quanto segue. Come già esposto al consid 3.2 del presente giudizio, l'AFC ha l'obbligo di informare le persone interessate in merito agli elementi essenziali della domanda, così come ha l'obbligo informare le altre persone che, in base agli atti, deve presumere legittimate a ricorrere. In tal senso e conformemente ai suoi obblighi ex art. 14 cpv. 1 e 2 LAAF, l'autorità inferiore ha quindi richiesto al detentore delle informazioni - in casu, B._______ - di prendere contatto con la ricorrente al fine di informarla circa la procedura di assistenza amministrativa fiscale internazionale in corso e di invitarla quindi a designare un rappresentante in Svizzera. Più precisamente, la banca ha inviato nel febbraio 2020 (cfr. Doc. N) una raccomanda all'indirizzo di domicilio in Panama della qui ricorrente alla quale vi era allegata la lettera 23 settembre 2019 relativa alla richiesta di assistenza amministrativa da parte della direzione generale delle Guardie di Finanza. In tale scritto, l'AFC informava la ricorrente della domanda di assistenza amministrativa presentata dall'Italia e le esponeva le possibilità a lei aperte in tale procedura, ovvero (1) acconsentire alla trasmissione delle informazioni oppure (2) partecipare al procedimento comunicando all'AFC entro 10 giorni dalla ricezione dello scritto il nominativo del rappresentante in Svizzera autorizzato a ricevere le comunicazioni ufficiali. In tal senso l'AFC, chiedendo quindi al detentore delle informazioni di prendere contatto con la ricorrente, ha agito conformemente a quanto sancito dalla LAAF. Con riferimento poi alle possibilità di cui disponeva concretamente la banca per prendere contatto con la ricorrente - e che a dire di quest'ultima, non sarebbero state esaustivamente sfruttate - si rileva come tale questione non sia rilevante ai fini della presente vertenza. Come già esposto al consid. 3.2.1 del presente giudizio, l'AFC non dispone infatti di alcuno mezzo per obbligare o costringere la banca ad agire e prendere quindi contatto con le persone interessate - ovvero i suoi clienti - sicché mal si comprende per quale motivo il comportamento del detentore delle informazioni dovrebbe essere ascritto all'autorità inferiore. Pacifico poi che agli atti non vi sia la prova concreta circa il giorno esatto nel quale è stato recapitato lo scritto della banca alla ricorrente. Vi è unicamente infatti la certezza che - la stessa - abbia preso conoscenza a un dato momento di tale missiva. Tuttavia, per mera ipotesi e volendo seguire l'esposizione fattuale della ricorrente - ovvero che lo scritto le sarebbe pervenuto unicamente in data 6 luglio 2020 - si rileva come contrariamente a quanto sostenuto dalla stessa, questa avrebbe avuto tempo a sufficienza per comunicare la propria presa di posizione dinanzi all'autorità inferiore e prendere così parte al procedimento. La decisione finale è infatti stata pubblicata sul Foglio federale solo in data 21 luglio 2020, due settimane dopo la presunta data nella quale la ricorrente sarebbe venuta a conoscenza dello scritto. In tal senso, se la ricorrente avesse agito tempestivamente, ovvero nei 10 giorni a lei assegnati (cfr. Doc. N), avrebbe chiaramente potuto prendere parte alla procedura. Al contrario, l'insorgente ha agito in maniera del tutto tardiva, inviando uno scritto solo in data 1° agosto 2020 (cfr. atto n. 18 dell'incarto prodotto dall'autorità inferiore [di seguito: inc. AFC]), ben oltre i 10 giorni a lei assegnati, dopo che l'autorità inferiore aveva pubblicato la sua decisione sul foglio ufficiale in data 21 luglio 2020. Il fatto che la ricorrente non abbia quindi avuto modo di partecipare alla procedura dinanzi all'autorità inferiore è fatto unicamente imputabile al suo agire tardivo e non certamente a quello dell'AFC o della banca. Ciò è già sufficiente a respingere la censura sollevata dalla ricorrente. Per quanto concerne poi la questione della pubblicazione sul Foglio federale da parte dell'autorità inferiore, si rileva quanto segue. Non avendo ottenuto risposta alcuna da parte della ricorrente entro il termine a essa assegnato, l'autorità inferiore ha quindi proceduto con la pubblicazione sul Foglio federale, prima in data 24 marzo 2020 (cfr. inc. AFC, Doc. 13) e successivamente in data 21 luglio 2020 (cfr. inc. AFC, Doc. 17). Infatti, come anche esposto al consid. 3.2.2 del presente giudizio, in assenza di una notifica per il tramite del detentore delle informazioni, incombe all'AFC garantire in altro modo il diritto di essere sentito delle persone interessate. La notifica diretta per posta nello stato interessato (cfr. art. 14 cpv. 4 let. a LAAF) - la quale ha precedenza rispetto alla notifica per tramite del Foglio federale ex. art. 14 cpv. 5 LAAF - presuppone tuttavia che sia effettivamente possibile contattare la persona interessata: le possibilità esposte al cpv. 5 risultano infatti applicabili unicamente nel caso in cui « se una persona legittimata a ricorrere non è raggiungibile ». Ora, tale condizione - e meglio l'impossibilità di prendere contatto con la persona legittimata a ricorrere - è manifestamente adempiuta nel caso di specie. Si rileva infatti che il detentore delle informazioni ha inviato lo scritto informativo alla ricorrente in forma raccomandata nel febbraio 2020 (cfr. Doc. N). In data 24 marzo 2020, al momento della prima pubblicazione sul Foglio federale, l'AFC non aveva ancora ricevuto una presa di posizione da parte dell'insorgente. In tal senso, disponendo l'autorità inferiore del medesimo indirizzo di contatto dalla banca, ovvero quello di domicilio della ricorrente in Panama, mal si comprende per quale motivo l'AFC avrebbe dovuto considerare possibile informare la qui ricorrente inviando anch'essa una missiva al medesimo indirizzo di domicilio. A ciò si aggiunge che, come anche indicato dall'autorità inferiore in sede di decisione (cfr. decisione 21 luglio 2020, consid. 9.8), questa nemmeno poteva essere certa che l'indirizzo in suo possesso - ovvero quello risultante dalla documentazione 31 dicembre 2017 interna alla banca - fosse corretto e corrispondesse ancora a quello di domicilio della ricorrente. Infine, come anche indicato dall'autorità inferiore in sede di decisione (cfr. decisione 21 luglio 2020, consid. 9.3), la domanda presentata dall'autorità italiana nel caso in esame concerne un numero elevato di soggetti, sicché non ci si poteva attendere dall'autorità inferiore che questa verificasse per ogni singolo caso - come invece preteso dalla ricorrente - se fosse possibile notificare direttamente un atto ufficiale per posta. E dunque del tutto legittimo per l'autorità inferiore aver considerato necessario - e come unica possibilità restante - informare la ricorrente mediante la pubblicazione sul Foglio federale ex. art. 14 cpv. 5 LAAF.</w:t>
      </w:r>
    </w:p>
    <w:p>
      <w:r>
        <w:rPr>
          <w:b/>
        </w:rPr>
        <w:t>E. 3.4.2</w:t>
      </w:r>
    </w:p>
    <w:p>
      <w:r>
        <w:t>Per completezza e viste le censure sollevate dalla qui ricorrente, si rileva infine quanto segue. L'insorgente sostiene - in sintesi e come già sopra esposto - che l'autorità inferiore avrebbe agito erroneamente procedendo mediante la pubblicazione sul Foglio federale. Tale autorità a dire della ricorrente, avrebbe infatti dovuto prima valutare se non era possibile procedere con una notifica diretta ex. 14 cpv. 4 let. a LAAF. Tale censura, alla luce di quanto finora esposto, appare tuttavia pretestuosa. La ricorrente si avvale infatti di un presunto errore procedurale per giustificare il fatto di aver agito tardivamente (cfr. consid 3.4.1 del presente giudizio), senza tuttavia riconoscere come - alla luce della propria esposizione fattuale - anche un eventuale invio raccomandato da parte dell'autorità inferiore non avrebbe potuto giungere a sua conoscenza prima del 6 luglio 2020. È infatti la ricorrente stessa a sostenere che, tenuto conto della situazione legata all'emergenza sanitaria COVID-19, questa avrebbe preso conoscenza dello scritto febbraio 2020 (Doc. N) unicamente in data 6 luglio 2020. Ora, mal si comprende dunque come uno scritto dell'autorità inferiore avrebbe potuto essere recapitato prima di tale data - dunque diversamente da quello della banca - e garantire così il suo diritto di essere sentito. Come già detto in precedenza, se la ricorrente non ha avuto modo di far valere la sua presa di posizione dinanzi all'AFC è fatto unicamente imputabile al suo agire tardivo, ovvero dopo i 10 giorni a lei assegnati. Alla luce di tutto quanto sopra, la ricorrente è quindi stata chiaramente informata in tempo utile per prendere parte alla procedura davanti all'autorità inferiore, sia quando questa ha ricevuto la comunicazione da parte del detentore delle informazioni - a suo dire - in data 6 luglio 2020, sia attraverso la pubblicazione sul Foglio federale, efficace nei confronti anche della qui ricorrente. In tal senso, il diritto di essere sentito della ricorrente non è stato violato, motivo per cui tale censura è da respingere.</w:t>
      </w:r>
    </w:p>
    <w:p>
      <w:r>
        <w:rPr>
          <w:b/>
        </w:rPr>
        <w:t>E. 3.5</w:t>
      </w:r>
    </w:p>
    <w:p>
      <w:r>
        <w:t>In merito alla censura della qui ricorrente secondo la quale una pubblicazione individualizzata sul Foglio federale avrebbe avuto più possibilità di essere notata rispetto a una pubblicazione in forma anonima, si rileva quanto segue (cfr. ricorso 19 agosto 2020, punti n. 42-46). Come anche indicato dall'autorità inferiore in sede di decisione (cfr. decisione 21 luglio 2020, consid. 9.3), la domanda presentata dall'autorità italiana nel caso in esame riguardava un numero elevato di soggetti, sicché non ci si poteva attendere dalla stessa che procedesse a una pubblicazione individualizzata per ogni singola persona. La pubblicazione del 24 marzo 2020, così come quella del 21 luglio 2020, contengono tutti gli elementi necessari per permettere ai loro destinatari di riconoscersi come tali. In tal senso, anche tale censura è quindi da respingere.</w:t>
      </w:r>
    </w:p>
    <w:p>
      <w:r>
        <w:rPr>
          <w:b/>
        </w:rPr>
        <w:t>E. 3.6</w:t>
      </w:r>
    </w:p>
    <w:p>
      <w:r>
        <w:t>In ogni caso, anche un'eventuale - ma non concessa - violazione del diritto di essere sentito della qui ricorrente, non sarebbe in ogni caso stata di una gravità tale da comportare l'annullamento della decisione impugnata. Infatti come esposto al consid. 3.3 del presente giudizio,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Tenuto conto di come codesto Tribunale ha avuto modo di esaminare le censure relative alla violazione del diritto di essere sentito sollevate dalla ricorrente e come questa ha avuto modo di esprimere le stesse, anche un'eventuale violazione di tale diritto è qui da considerare come sanata.</w:t>
      </w:r>
    </w:p>
    <w:p>
      <w:r>
        <w:rPr>
          <w:b/>
        </w:rPr>
        <w:t>E. 4</w:t>
      </w:r>
    </w:p>
    <w:p>
      <w:r>
        <w:t>Nel caso in disamina, oggetto del litigio è la decisione finale del 21 luglio 2020 dell'autorità inferiore, con cui quest'ultima ha accolto la domanda collettiva del 10 luglio 2017 di assistenza amministrativa in materia fiscale inoltrata dall'autorità richiedente italiana, sulla base dell'art. 27 CDI CH-IT, per quanto concerne la qui ricorrente. In tale contesto, per il Tribunale si tratta essenzialmente di esaminare l'ammissibilità della predetta domanda, sia dal punto di vista formale che da quello materiale, alla luce delle puntuali censure sollevate dalla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sentenza del TAF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sentenza del TAF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sentenza del TAF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sentenza del TAF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sentenza del TAF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sentenza del TAF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sentenza del TAF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sentenza del TAF A-5662/2020 del 10 maggio 2021 consid. 2.4.3; A-1296/2020 del 21 dicembre 2020 consid. 4.2.4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sentenza del TAF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sentenza del TAF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sentenza del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sentenza del TAF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sentenza del TAF A-5662/2020 del 10 maggio 2021 consid. 2.9 con rinvii).</w:t>
      </w:r>
    </w:p>
    <w:p>
      <w:r>
        <w:rPr>
          <w:b/>
        </w:rPr>
        <w:t>E. 5</w:t>
      </w:r>
    </w:p>
    <w:p>
      <w:r>
        <w:t>Stabiliti i principi applicabili,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3.a.(3) concernente 2'857 rapporti finanziari relativi a persone fisiche, identificate mediante il nominativo (cognome e nome) e l'indicazione del domicilio in Italia nel campo « MIS_Dom_Name », rispettivamente l'attribuzione di un codice domicilio « 111 » riferito all'Italia. A prescindere dal ben fondato del criterio del domicilio su cui si statuirà in un secondo momento (cfr. considd. 6 del presente giudizio),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Come per il periodo fiscale interessato (cfr. consid. 6.1.2 del presente giudizio),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 contrariamente a quanto ritenuto dalla ricorrente -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esso indicato è corretto, salvo in presenza di errori manifesti, ciò che non è qui il caso.</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 tant'è che non è neppure contestata dalla ricorrente.</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3.a.(3),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w:t>
      </w:r>
    </w:p>
    <w:p>
      <w:r>
        <w:rPr>
          <w:b/>
        </w:rPr>
        <w:t>E. 6.1</w:t>
      </w:r>
    </w:p>
    <w:p>
      <w:r>
        <w:t>La ricorrente censura innanzitutto l'assenza di rilevanza verosimile delle informazioni richieste dall'autorità italiana (cfr. ricorso 19 agosto 2020, punti n. 50-66). Più precisamente essa sostiene che - tenuto conto di come la GdF utilizzi il criterio del codice di domicilio per sostenere che le persone interessate siano residenti in Italia e di conseguenza faccia valere tale criterio per l'assoggettamento illimitato all'imposta ai sensi dell'articolo 4 cpv. 1 CDI CH-IT - la banca non avrebbe dovuto trasmettere le sue informazioni all'AFC e questo in quanto al 23 febbraio 2015 - data a partire dalla quale la GdF richiede le informazioni - la ricorrente non era più domiciliata in Italia. In tal senso, l'invio dei dati all'AFC da parte della banca andrebbe considerato come un errore e questo visto che la banca avrebbe trasmesso all'autorità inferiore i dati di una persona che non adempiva più i criteri di selezione descritti nel decreto di edizione 23 settembre 2019. Tale aspetto, a dire dell'insorgente, sarebbe comprovato dalla documentazione agli atti e da essa prodotta, più precisamente: il passaporto sul quale figura la residenza a Panama (Doc. C), il certificato di residenza A.I.R.E. sul quale figura l'iscrizione all'anagrafe con decorrenza 1 febbraio 2007 (Doc. D), il certificato di residenza 13 maggio 2015 rilasciato dalle autorità panamensi (Doc. E), lo stato di famiglia A.I.R.E rilasciato dal Comune di X._______ in data 22 maggio 2014 (Doc. F), la lettera 11 dicembre 2014 con la quale veniva richiesto alla banca di modificare l'indirizzo di residenza della ricorrente (Doc. L), la conferma della banca del cambiamento di domicilio nel sistema interno (Doc. M), etc. In sintesi, alla luce degli elementi agli atti e della fattispecie così come illustrata dalla ricorrente, la banca avrebbe - a torto - incluso il suo nominativo tra quelli da trasmettere all'AFC. In merito a tale censura lo scrivente Tribunale rileva quanto segue.</w:t>
      </w:r>
    </w:p>
    <w:p>
      <w:r>
        <w:rPr>
          <w:b/>
        </w:rPr>
        <w:t>E. 6.2</w:t>
      </w:r>
    </w:p>
    <w:p>
      <w:r>
        <w:t>Per quanto qui necessario, il Tribunale rileva innanzitutto che i codici di domicilio italiano che figurano nelle liste costituiscono dei criteri sufficienti per ritenere le persone che figurano in queste liste potrebbero essere imponibili in Italia nel periodo in esame. Infatti, da quanto descritto dalla GdF nella domanda di assistenza italiana, poi riportato da questo Tribunale (cfr. fatti, sub lett. A.b), risulta che l'Italia utilizza quale criterio principale di assoggettamento fiscale in Italia quello del domicilio italiano. Nello specifico, le liste che utilizzano il criterio del codice domicilio quale criterio di assoggettamento fiscale sono in linea con la recente giurisprudenza dello scrivente Tribunale (cfr. [tra le tante] sentenza del TAF A-5662/2020 del 10 maggio 2021 consid. 5.1).</w:t>
      </w:r>
    </w:p>
    <w:p>
      <w:r>
        <w:rPr>
          <w:b/>
        </w:rPr>
        <w:t>E. 6.3</w:t>
      </w:r>
    </w:p>
    <w:p>
      <w:r>
        <w:t>Si tratta quindi di stabilire se l'argomentazione della ricorrente, secondo cui il suo domicilio in data 23 febbraio 2015 non sarebbe più stato in Italia ma bensì in Panama, sia tale da inficiare la verosimiglianza rilevante delle informazioni richieste dall'autorità estera. Ora, dalla documentazione agli atti e più precisamente dal Doc. B si evince innanzitutto come in data 6 novembre 2000 - data di apertura della relazione bancaria - il conto interessato era stato registrato con il codice di domicilio « 111 », ovvero quello attribuito ai titolari con domicilio in Italia. Dal Doc. L si evince invece come la ricorrente abbia comunicato in data 11 dicembre 2014 il cambio di residenza alla banca, informandola che a partire dal 2007 questa risiedeva - a suo dire - a Panama e che pertanto i suoi dati dovevano essere aggiornati nel sistema interno. Sul medesimo documento figura poi l'indicazione « Formalità controllata da (...) 12 FEB. 2015 ». Per quanto concerne il Doc. M invece prodotto dalla ricorrente, lo stesso conferma come - a dire del consulente della banca - il cambio di domicilio nei sistemi interni sarebbe stato registrato in data 4 febbraio 2015, ovvero poco tempo dopo la ricezione dello scritto 11 dicembre 2014 (cfr. Doc. L). Alla luce di tali elementi e tenuto conto di come la documentazione prodotta dalla ricorrente sembrerebbe dimostrare che il cambio di domicilio nel sistema interno della banca sarebbe avvenuto prima del 23 febbraio 2015 - ovvero in data 4 febbraio 2015 - lo scrivente Tribunale non può pertanto escludere - come nemmeno constatare - che si sia verificato un errore da parte della banca per quanto concerne la trasmissione dei dati della qui ricorrente all'autorità inferiore.</w:t>
      </w:r>
    </w:p>
    <w:p>
      <w:r>
        <w:rPr>
          <w:b/>
        </w:rPr>
        <w:t>E. 6.4</w:t>
      </w:r>
    </w:p>
    <w:p>
      <w:r>
        <w:t>Ciò premesso, lo scrivente Tribunale rileva che al momento dell'apertura della relazione bancaria - ovvero nell'anno 2000 - all'intestazione era stato attribuito correttamente il codice di domicilio « Italia » (cfr. Doc. B). Come emerge anche dal Doc. L, la ricorrente ha poi comunicato solo in data 11 dicembre 2014 il cambiamento di domicilio in Panama, richiesta che è stata elaborata - a dire della banca - in data 4 febbraio 2015 e poi verificata internamente in data 12 febbraio 2015. Fino a quel momento, ovvero al 4 febbraio 2015, la ricorrente risultava quindi ancora registrata - nel sistema interno della banca - come domiciliata in Italia. Ora, tenuto conto di tali circostanze e di quanto già esposto al considerando precedente, questo Tribunale non può escludere che le informazioni richieste adempiano comunque il criterio della verosimiglianza rilevante e che siano pertanto utili ai fini del procedimento nel paese richiedente. Infatti, da un lato, la questione di sapere se il criterio del domicilio concorra con un criterio d'assoggettamento fiscale in uno Stato terzo non deve essere esaminata da questo Tribunale. Per costante giurisprudenza infatti, la determinazione della residenza fiscale a livello internazionale è una questione di merito che non deve essere affrontata dallo Stato richiesto allo stadio dell'assistenza amministrativa (cfr. DTF 142 II 161 consid. 2.2.1; 142 II 218 consid. 3.6). Che dalle informazioni richieste possa poi eventualmente risultare un domicilio diverso da quello indicato dalla GdF - e che quindi la ricorrente non risulti effettivamente domiciliata in Italia durante il periodo interessato dalla domanda - non comporta l'assenza di rilevanza verosimile di tali informazioni. Ora, dal momento che la ricorrente stessa figura sulla lista sub. 3.a.(3) con un codice domicilio italiano e di come all'apertura del conto era stato attribuito a giusto titolo il codice di domicilio « 111 », spetterà - se del caso - a quest'ultima fare valere dinanzi alle competenti autorità italiane l'esistenza di un domicilio in un altro Stato. Dall'altro, non si può non constatare come il presunto cambiamento di domicilio nel sistema interno della banca sia avvenuto meno di due settimane prima dell'inizio del periodo rilevante (ovvero, in data 23 febbraio 2015) e come tale modifica sia intervenuta sulla scorta di una semplice dichiarazione della ricorrente (cfr. Doc. L) nella quale questa comunicava alla banca il suo nuovo indirizzo di domicilio. Ora, è chiaro come tali elementi non attestino ancora nulla circa il reale domicilio della ricorrente durante il periodo rilevante. Infatti, la dichiarazione della banca (cfr. Doc. M), costituisce - di fatto - una semplice comunicazione dell'istituto dove questo conferma che il profilo della ricorrente è stato internamente aggiornato. Tale documento è poi stato rilasciato da un'entità privata, per di più sulla scorta di una dichiarazione fornita da uno dei suoi clienti (cfr. Doc. L): lo stesso non può certamente avere la medesima valenza - in termini probatori - di un'attestazione ufficiale rilasciata da un ente pubblico preposto a tale scopo. Tale aspetto è stato anche recentemente esaminato dal Tribunale federale in un caso analogo (cfr. sentenza del TF 2C_109/2022 del 30 gennaio 2023), occasione nella quale l'Alta Corte ha chiaramente sancito come, in presenza di un codice di domicilio inizialmente correttamente attribuito, la lettera del detentore delle informazioni - nella quale questo conferma che il suo cliente non era domiciliato nel paese richiedente durante il periodo interessato - non costituisce un valido mezzo di prova idoneo a confutare l'esattezza di tale codice di domicilio. Visto quanto precede, la tesi della ricorrente circa l'assenza di un domicilio in Italia durante il periodo interessato dalla domanda e il conseguente errore che avrebbe commesso la banca, non sono tali da inficiare il criterio della verosimile rilevanza delle informazioni richieste. Tali censure sono dunque da respingere.</w:t>
      </w:r>
    </w:p>
    <w:p>
      <w:r>
        <w:rPr>
          <w:b/>
        </w:rPr>
        <w:t>E. 6.5</w:t>
      </w:r>
    </w:p>
    <w:p>
      <w:r>
        <w:t>Infine, per quanto concerne la censura della ricorrente circa il fatto che non si conosca la data di allestimento della lista alla quale fa riferimento la GdF nella sua richiesta (cfr. replica spontanea 6 settembre 2021,punto n. 7), lo scrivente Tribunale considera quanto segue. Al consid. 4.4. della sua decisione (cfr. decisone 21 luglio 2020), l'autorità inferiore afferma che vi sarebbero indizi sufficienti a fondare l'esistenza di un ragionevole sospetto di comportamento in violazione della normativa fiscale da parte delle persone a cui si riferiscono le posizioni delle liste. Più precisamente, essa indica che le liste sono emerse nell'ambito di un procedimento contro B._______, che le prove raccolte nel procedimento contro tale banca hanno permesso di individuare pratiche di evasione fiscale, che il procedimento penale contro la banca si è concluso con una condanna, che le registrazioni informatiche acquisite nel corso delle attività di verifica e di indagine penale su cui si basano le liste mostrano 18'126 posizioni aperte prevalentemente da soggetti italiani e che tali liste contenevano un codice di domicilio che portava a risalire all'Italia come nazionalità, domicilio o paese di riferimento. Ora, il fatto che il nominativo della ricorrente figuri anch'esso sulle liste in possesso dell'autorità estera, sarebbe quindi - a mente dell'autorità inferiore - sufficiente a fondare il sospetto di comportamento in violazione della normativa fiscale. Tale parere è condiviso dal qui scrivente Tribunale, il quale ritiene la presenza di sufficienti elementi oggettivi atti a fondare il sospetto che la qui contribuente non abbia potenzialmente adempiuto ai suoi obblighi fiscali nello stato richiedente. Contrariamente poi a quanto sostenuto dalla ricorrente, il fatto che la lista non menzioni una data precisa di allestimento non comporta in alcun modo il rischio di includere un numero elevato di persone estranee alla fattispecie. Infatti, la cerchia di persone interessate è ben circoscritta da un altro criterio centrale, ovvero il periodo fiscale rilevante (23 febbraio 2015 - 31 dicembre 2017): interessati dalla procedura di trasmissione di informazioni, sarebbero unicamente quei soggetti figuranti sulle liste - per i quali vi è dunque un sospetto di evasione fiscale - e che durante il periodo rilevante avevano una posizione finanziaria presso B._______. In tal senso, tale imprecisione, ovvero l'assenza della data sulla lista, non è sufficiente a mettere in dubbio la veridicità e l'attendibilità delle informazioni fornite dall'autorità richiedente italiana. Pertanto le informazioni richieste appaiono dunque verosimilmente rilevanti.</w:t>
      </w:r>
    </w:p>
    <w:p>
      <w:r>
        <w:rPr>
          <w:b/>
        </w:rPr>
        <w:t>E. 6.6</w:t>
      </w:r>
    </w:p>
    <w:p>
      <w:r>
        <w:t>In conclusione, alla luce dei considerandi che precedono, si deve ritenere che la domanda collettiva di assistenza amministrativa italiana del 10 luglio 2017, qui fondata sulla lista/sull'elenco sub 3.a.(3), soddisfa tutti i requisiti materiali alla base della sua ammissibilità, sicché risulta qui ammissibile anche dal profilo materiale.</w:t>
      </w:r>
    </w:p>
    <w:p>
      <w:r>
        <w:rPr>
          <w:b/>
        </w:rPr>
        <w:t>E. 7</w:t>
      </w:r>
    </w:p>
    <w:p>
      <w:r>
        <w:t>In definitiva, alla luce di quanto precede, il ricorso della ricorrente va qui integralmente respinto. 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essa versato a suo tempo, alla crescita in giudicato del presente giudizio. Non vi sono poi i presupposti per l'assegnazione alla ricorrente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