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A-4146/2009 vom 9. März 2010</w:t>
      </w:r>
    </w:p>
    <w:p>
      <w:r>
        <w:t>Bundesverwaltungsgericht, 2010-03-09, DE</w:t>
      </w:r>
    </w:p>
    <w:p>
      <w:r>
        <w:rPr>
          <w:b/>
        </w:rPr>
        <w:t xml:space="preserve">Quelle: </w:t>
      </w:r>
      <w:r>
        <w:t>https://mcp.opencaselaw.ch/entscheid/bvger_A-4146_2009</w:t>
      </w:r>
    </w:p>
    <w:p>
      <w:r>
        <w:t>FR: TAF A-4146/2009 du 9 mars 2010</w:t>
      </w:r>
    </w:p>
    <w:p>
      <w:r>
        <w:t>IT: TAF A-4146/2009 del 9 marzo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die angefochtenen 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30. September 2003 betroffen ist, untersteht das vorliegende Verfahren deshalb in materieller Hinsicht dem Bundesgesetz vom 2. September 1999 über die Mehrwertsteuer (aMWSTG, AS 2000 1300). Für die Zeit vom 1. Januar 1998 bis 31. Dezember 2000 finden ferner die Bestimmungen der Verordnung vom 22. Juni 1994 über die Mehrwertsteuer (aMWSTV, AS 1994 1464) Anwendung (Art. 93 und 94 aMWSTG). Namentlich die Verjährung ist ein materiell-rechtliches Institut (vgl. dazu BGE 126 II 1 E. 2a mit weiteren Hinweisen). Die Frage nach der Verjährung der bis Ende des Jahres 2000 geschuldeten Steuer wird deshalb nach den Bestimmungen der aMWSTV beurteilt, für die Zeit danach gemäss dem aMWSTG (Art. 112 Abs. 1 letzter Satz MWSTG i.V.m. Art. 93 aMWSTG).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Kein Verfahrensrecht in diesem engen Sinn stellen im vorliegenden Fall etwa die nachfolgend abgehandelten Themen wie die Buchführungspflicht, das Selbstveranlagungsprinzip oder die Ermessensveranlagung etc. dar, so dass vorliegend diesbezüglich noch altes Recht anwendbar ist. Keine Anwendung finden deshalb beispielsweise Art. 70, 71, 72, oder 79 MWSTG, obwohl sie unter dem Titel "Verfahrensrecht für die Inland- und die Bezugsteuer" stehen (Urteil des Bundesverwaltungsgerichts A-4360/2008 vom 4. März 2010 E. 1.2).</w:t>
      </w:r>
    </w:p>
    <w:p>
      <w:r>
        <w:rPr>
          <w:b/>
        </w:rPr>
        <w:t>E. 2.1</w:t>
      </w:r>
    </w:p>
    <w:p>
      <w:r>
        <w:t>Der Mehrwertsteuer unterliegen u.a. die im Inland gegen Entgelt erbrachten Lieferungen von Gegenständen und Dienstleistungen (Art. 4 Bst. a und b aMWSTV, Art. 5 Bst. a und b aMWSTG).</w:t>
      </w:r>
    </w:p>
    <w:p>
      <w:r>
        <w:rPr>
          <w:b/>
        </w:rPr>
        <w:t>E. 2.2</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aMWSTV bzw. Art. 38 Abs. 1 und 2 aMWSTG). Für einen Vorsteuerabzug ist gemäss Art. 29 Abs. 1 aMWSTV bzw. Art. 38 Abs. 1 aMWSTG unter anderem erforderlich, dass die mit der Vorsteuer belasteten Gegenstände oder Dienstleistungen für einen geschäftlich begründeten Zweck gemäss Abs. 2 der Bestimmungen verwendet werden, namentlich für steuerbare Lieferungen und Dienstleistungen (statt vieler: BGE 132 II 353 E. 8.3, 10). Werden bezogene Leistungen nicht für einen geschäftlich begründeten Zweck bzw. nicht für einen steuerbaren Ausgangsumsatz verwendet, liegt Endverbrauch beim Steuerpflichtigen vor, welcher nicht zum Vorsteuerabzug berechtigt (BGE 132 II 353 E. 10, 8.2; Urteil des Bundesgerichts 2C_309/2009 vom 1. Februar 2010 E. 7.2; Urteile des Bundesverwaltungsgerichts A-1602/2006 vom 4. März 2010 E. 3.1.2, A-4057/2009 vom 3. September 2009 E. 2.3, A-3069/2007 vom 29. Januar 2008 E. 2.3, A-1357/2006 vom 27. Juni 2007 E. 2.2 mit Hinweisen).</w:t>
      </w:r>
    </w:p>
    <w:p>
      <w:r>
        <w:rPr>
          <w:b/>
        </w:rPr>
        <w:t>E. 2.3</w:t>
      </w:r>
    </w:p>
    <w:p>
      <w:r>
        <w:t>Vom Vorsteuerabzugsrecht ausgeschlossen sind 50% der Steuerbeträge auf - geschäftlich begründeten - Ausgaben für Verpflegung und Getränke (Art. 30 Abs. 2 aMWSTV, Art. 38 Abs. 5 aMWSTG; vgl. BGE 123 II 295 E. 8; Entscheid der Eidgenössischen Steuerrekurskommission [SRK] vom 17. Juni 2002, veröffentlicht in Verwaltungspraxis der Bundesbehörden [VPB] 67.125 E. 2b). Die 50%-Regelung dient im Ergebnis dazu, einen Teil des Endverbrauchs zu belasten. Essen und Trinken sind Grundbedürfnisse, die von jedermann befriedigt werden müssen und deshalb auch umsatzsteuerrechtlich erfasst werden sollen (ALOIS CAMENZIND/NIKLAUS HONAUER/KLAUS A. VALLENDER, Handbuch zum Mehrwertsteuergesetz [MWSTG], 2. Aufl., Bern 2003, Rz. 1402).</w:t>
      </w:r>
    </w:p>
    <w:p>
      <w:r>
        <w:rPr>
          <w:b/>
        </w:rPr>
        <w:t>E. 3.1</w:t>
      </w:r>
    </w:p>
    <w:p>
      <w:r>
        <w:t>Die Veranlagung und Entrichtung der Mehrwertsteuer erfolgt nach dem Selbstveranlagungsprinzip (Art. 37 f. aMWSTV, Art. 46 aMWSTG;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(Urteile des Bundesverwaltungsgerichts A-746/2007 vom 6. November 2009 E. 2.1, A-1634/2006 vom 31. März 2009 E. 3.4, A-1527/2006 vom 6. März 2008 E. 2.1; ISABELLE HOMBERGER GUT, mwst.com, Kommentar zum Bundesgesetz über die Mehrwertsteuer, Basel 2000, N. 1 ff. zu Art. 46; CAMENZIND/HONAUER/VALLENDER, a.aO., Rz. 1579 ff.).</w:t>
      </w:r>
    </w:p>
    <w:p>
      <w:r>
        <w:rPr>
          <w:b/>
        </w:rPr>
        <w:t>E. 3.2</w:t>
      </w:r>
    </w:p>
    <w:p>
      <w:r>
        <w:t>Nach Art. 48 aMWSTV bzw. Art. 60 aMWSTG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(statt vieler: Urteil des Bundesgerichts 2A.437/2005 vom 3. Mai 2006 E. 3.1; Urteile des Bundesverwaltungsgerichts A-1560/2007 vom 20. Oktober 2009 E. 4.3, A-1531/2006 vom 10. Januar 2008 E. 2.4). Selbst eine formell einwandfreie Buchführung kann die Durchführung einer Schätzung erfordern, wenn die in den Büchern enthaltenen Geschäftsergebnisse von den Erfahrungszahlen wesentlich abweichen. Eine Ermessensveranlagung ist demnach immer dann vorzunehmen, wenn auf Grund der vorhandenen Aufzeichnungen keine ordnungsgemässe Veranlagung möglich ist. Dazu ist nicht erforderlich, dass die gesamten Aufzeichnungen fehlerhaft sind; vielmehr reicht aus, wenn dies für Teile davon zutrifft (Urteil des Bundesgerichts 2A.273/2002 vom 13. Januar 2003 E. 5.3). Die Verwaltung hat diejenige Schätzungsmethode zu wählen, die den individuellen Verhältnissen im Betrieb des Steuerpflichtigen soweit als möglich Rechnung trägt, auf plausiblen Angaben beruht und deren Ergebnis der wirklichen Situation möglichst nahe kommt (Urteil des Bundesgerichts 2A.253/2005 vom 3. Februar 2006 E. 4.1). In Betracht fallen einerseits Methoden, die auf eine Ergänzung oder Rekonstruktion der ungenügenden Buchhaltung hinauslaufen, andererseits Umsatzschätzungen aufgrund unbestrittener Teil-Rechnungsergebnisse in Verbindung mit Erfahrungssätzen (Urteile des Bundesverwaltungsgerichts A-5754/2008 vom 5. November 2009 E. 2.6 f [zur Veröffentlichung in den BVGE bestimmt], A-1337/2007 vom 21. September 2009 E. 5.2, A-3678/2007 und A-3680/2007 vom 18. August 2009 E. 4.2; Entscheid der SRK vom 24. Oktober 2005, veröffentlicht in VPB 70.41 E. 2d.aa).</w:t>
      </w:r>
    </w:p>
    <w:p>
      <w:r>
        <w:rPr>
          <w:b/>
        </w:rPr>
        <w:t>E. 3.3</w:t>
      </w:r>
    </w:p>
    <w:p>
      <w:r>
        <w:t>Sind die Voraussetzungen einer Ermessenstaxation erfüllt, obliegt es nach ständiger Rechtsprechung dem Mehrwertsteuerpflichtigen, den Beweis für die Unrichtigkeit der Schätzung zu erbringen (so etwa schon Entscheide der SRK vom 15. Oktober 1999, veröffentlicht in VPB 64.47 E. 5b, vom 29. Oktober 1999 [SRK 1998-102] E. 5, bestätigt durch Urteil des Bundesgerichts 2A.580/1999 vom 21. Juni 2000). Erst wenn der Mehrwertsteuerpflichtige den Nachweis dafür erbringt, dass die Verwaltung mit der Ermessensveranlagung Bundesrecht verletzt hat bzw. dass ihr dabei erhebliche Ermessensfehler unterlaufen sind, nimmt das Bundesverwaltungsgericht eine Korrektur der Schätzung vor (Urteile des Bundesverwaltungsgerichts A-1572/2006 vom 21. August 2008 E. 2.5.4, A-1531/2006 vom 10. Januar 2008 E. 2.5.2, A-1388/2006 vom 11. Oktober 2007 E. 2.6; Entscheid der SRK vom 5. Januar 2000, veröffentlicht in VPB 64.83 E. 2).</w:t>
      </w:r>
    </w:p>
    <w:p>
      <w:r>
        <w:rPr>
          <w:b/>
        </w:rPr>
        <w:t>E. 3.4</w:t>
      </w:r>
    </w:p>
    <w:p>
      <w:r>
        <w:t>Die ESTV nimmt im Rahmen von Steuerrevisionen Umlagen vor, indem sie aufgrund eines nach Belegen kontrollierten Zeitraums die Ergebnisse auf andere Zeitperioden der übrigen Kontrollperiode von normalerweise fünf Jahren überträgt (CAMENZIND/HONAUER/VALLENDER, a.a.O., Rz. 1684). Das Bundesgericht hat diese Praxis als praktikabel und rechtmässig bestätigt, sofern die massgebenden Verhältnisse im eingehend kontrollierten Zeitabschnitt ähnlich sind wie in der gesamten Kontrollperiode (Urteile des Bundesgerichts 2A.437/2005 vom 3. Mai 2006 E. 4.3.2, 2A.148/2000 vom 1. November 2000 E. 5b; Urteile des Bundesverwaltungsgerichts A-1595/2006 vom 2. April 2009 E. 2.5.2, A-1406/2006 vom 30. Januar 2008 E. 2.3, A-1531/2006 vom 10. Januar 2008 E. 2.5.1; Entscheid der SRK vom 25. März 2002, veröffentlicht in VPB 66.97 mit weiteren Hinweisen). Eine solche Umlage ist jedoch nicht zulässig, wenn begründete Anhaltspunkte dafür bestehen, dass die festgestellten Mängel nicht auf die übrigen Jahre übertragen werden können. Die ESTV muss die übrigen Jahre mindestens mit Stichproben prüfen und einzelfallweise belegen, dass die betreffenden Mängel auch in den anderen Zeitabschnitten aufgetreten sind (Urteile des Bundesverwaltungsgerichts A-1475/2006 vom 20. November 2008 E. 2.4, A-1531/2006 vom 10. Januar 2008 E. 2.5.1; Entscheid der SRK vom 12. Mai 2005 [SRK 2003-167] E. 4a/bb; Ueli Manser, mwst.com, a.a.O., N. 6 zu Art. 60).</w:t>
      </w:r>
    </w:p>
    <w:p>
      <w:r>
        <w:rPr>
          <w:b/>
        </w:rPr>
        <w:t>E. 4</w:t>
      </w:r>
    </w:p>
    <w:p>
      <w:r>
        <w:t>Im vorliegenden Fall hat die ESTV bei ihrer ursprünglichen Kontrolle im Jahr 2003 die Zeit vom 1. Januar 2002 bis 31. Dezember 2002 (12 Monate) stichprobenweise überprüft. Im April 2007 kontrollierte sie zusätzlich die Zeit vom 2. Januar 2003 bis 30. Mai 2003 (5 Monate) ebenfalls mittels Stichproben. Insgesamt überprüfte sie für die Zeit vom 1. Januar 2002 bis 30. Mai 2003 (17 Monate) von total 277 Schachteln mit Belegen eine Auswahl von 39 Schachteln (d.h. 14,08% der Schachteln). In diesen 39 Schachteln stellte sie Belege mit unzulässigen Vorsteuerabzügen im Umfang von Fr. 15'073.30 fest. Diesen Betrag rechnete sie auf 100% hoch (d.h. auf Fr. 107'055.-- für 17 Monate) und legte ihn auf 12 Monate um, ausmachend rund Fr. 75'000.--. In der Folge legte sie dieses Ergebnis auf das 1. Quartal 1998 bis 3. Quartal 2003 (69 Monate) um und forderte von der Beschwerdeführerin für diese Zeit insgesamt Fr. 431'250.-- nach. Im Streit liegt, ob die ESTV die von der Beschwerdeführerin auf der Rechnung der X._______AG vom 31. Mai 2002 für die Verpflegung bei einer Management-Tagung zu viel abgezogenen Vorsteuern von Fr. 9'348.-- zu Recht in die Umlage einbezogen hat. Unbestritten ist, dass die Beschwerdeführerin bei dieser Rechnung anstatt den zulässigen Vorsteuern von Fr. 9'348.--, Fr. 18'696.-- in Abzug brachte, da sie keine Kürzung um 50% gemäss Art 38 Abs. 5 aMWSTG vorgenommen hatte.</w:t>
      </w:r>
    </w:p>
    <w:p>
      <w:r>
        <w:rPr>
          <w:b/>
        </w:rPr>
        <w:t>E. 4.1</w:t>
      </w:r>
    </w:p>
    <w:p>
      <w:r>
        <w:t>Die ESTV stellte bei ihrer stichprobenweisen Überprüfung der Vorsteuerabzüge somit Mängel fest. Es ist deshalb nicht zu beanstanden, wenn sie eine Schätzung der zu viel abgezogenen Vorsteuern nach pflichtgemässem Ermessen vorgenommen hat, führt doch der unrechtmässige Abzug von Vorsteuern zu einer offensichtlich falschen Deklaration im Sinn von Art. 48 aMWSTV bzw. Art. 60 aMWSTG (vgl. Urteil des Bundesgerichts 2A.273/2002 vom 13. Januar 2003 E. 5.3 und oben E. 3.2). Dass die ESTV für die Umlagebasis vom 1. Januar 2002 bis 30. Mai 2003 nicht jeden einzelnen Beleg überprüfte, sondern sich auf Stichproben beschränkte und in der Folge eine Hochrechnung der unzulässigen Vorsteuerabzüge für diese Zeit vornahm, erscheint angesichts der grossen Anzahl von Vorsteuerbelegen als zweckmässig. Die betreffende Hochrechnung auf 100% war somit rechtmässig (vgl. auch Urteil des Bundesgerichts vom 22. Dezember 1976, veröffentlicht in Archiv für Schweizerisches Abgaberecht [ASA] 46 S. 200). Zu klären ist im Weiteren, ob die vorgenommene Umlage auf die Zeit nach der Fusion per 1. Januar 2001 (E. 4.2) sowie auf die Jahre 1998 bis 2000 (E. 4.3) zulässig war.</w:t>
      </w:r>
    </w:p>
    <w:p>
      <w:r>
        <w:rPr>
          <w:b/>
        </w:rPr>
        <w:t>E. 4.2.1</w:t>
      </w:r>
    </w:p>
    <w:p>
      <w:r>
        <w:t>Hinsichtlich der Umlage der stichprobenweise geprüften Zeit vom 1. Januar 2002 bis 30. Mai 2003 auf die übrigen Kontrollperioden nach der Fusion per 1. Januar 2001 (d.h. auf das Jahr 2001 sowie auf die Zeit vom 1. Juni bis 30. September 2003) bestehen keine Anhaltspunkte, dass die massgebenden Verhältnisse nicht grundsätzlich ähnlich waren (vgl. E. 3.4).</w:t>
      </w:r>
    </w:p>
    <w:p>
      <w:r>
        <w:rPr>
          <w:b/>
        </w:rPr>
        <w:t>E. 4.2.2</w:t>
      </w:r>
    </w:p>
    <w:p>
      <w:r>
        <w:t>Die Beschwerdeführerin wendet ein, dass am 10. Januar 2001 zwar ebenfalls eine Management-Tagung stattgefunden habe, bei dieser aber nachweislich die Vorsteuern korrekt abgerechnet worden seien. Die Rechnung der X._______AG vom 31. Mai 2002 dürfe deshalb nicht auf das Jahr 2001 umgelegt werden. Die Beschwerdeführerin verkennt, dass sie im Jahr 2001 nicht nur die erwähnte Management-Tagung, sondern ebenfalls Personalfeste durchführt hat, die vom Umfang her vergleichbar mit der Management-Tagung von 2002 waren (vgl. Beschwerdebeilage Nr. 4: fünf Personalfeste im Jahr 2001 mit je über 3'000 Personen). Auch wenn diese Personalfeste - wie die Beschwerdeführerin ausführt - aufgrund der Fusion stattgefunden haben und somit je für sich Einzelereignisse darstellen, ändert dies nichts daran, dass die massgebenden Verhältnisse auch mit Bezug auf die Rechnung der X._______AG vom 31. Mai 2002 im Jahr 2001 ähnlich waren. Es fanden vergleichbar grosse Veranstaltungen statt und folglich kann davon ausgegangen werden, dass auch ähnliche Aufwendungen für Verpflegung gemacht worden sind. Im Weiteren hat die ESTV festgestellt, dass die Beschwerdeführerin im Zusammenhang mit einem Personalfest vom 1. September 2001 in Genf Vorsteuern in der Höhe von rund Fr. 9'200.-- zu viel abgezogen hat (vgl. Einspracheentscheid S. 6). Die Beschwerdeführerin bestreitet dies nicht. Zudem führte sie am 22. Juni 2003 einen (...)-Mitarbeiter Anlass mit rund 2'000 Personen durch. Auch für diese Veranstaltung wurden (zumindest) bei der Rechnung der Y._______AG vom 18. August 2003 unbestrittenermassen Fr. 10'879.40 an Vorsteuern zu viel geltend gemacht (vgl. Beschwerde S. 8).</w:t>
      </w:r>
    </w:p>
    <w:p>
      <w:r>
        <w:rPr>
          <w:b/>
        </w:rPr>
        <w:t>E. 4.2.3</w:t>
      </w:r>
    </w:p>
    <w:p>
      <w:r>
        <w:t>Zusammenfassend bestehen genügend Anhaltspunkte, dass die massgebenden Verhältnisse der stichprobenweise überprüften Zeit (1. Januar 2002 bis 30. Mai 2003) grundsätzlich ähnlich waren wie im Jahre 2001 sowie in der Zeit vom 1. Juni bis 30. September 2003. Zudem bestehen unbestrittenermassen Lieferantenrechnungen für Veranstaltungen in den Jahren 2001 und 2003, bei denen Vorsteuerbeträge in ähnlichem Umfang wie bei der Rechnung der X._______AG zu viel in Abzug gebracht worden sind. Hinsichtlich des Jahres 2001 sowie der Zeit vom 1. Juni bis 30. September 2003 hat die ESTV demnach mittels Stichproben einzelfallweise belegt, dass mangelhafte Vorsteuerabzüge in ähnlicher Höhe aufgetreten sind. Die Voraussetzungen für die betreffende Umlage sind somit erfüllt (E. 3.4). Die Beschwerdeführerin konnte den Nachweis nicht erbringen, dass gleichartige Fehler wie beim Vorsteuerabzug betreffend die Rechnung der X._______AG vom 31. Mai 2002 nicht auch in der vorliegend fraglichen Zeit vorgekommen sind. Da es sich um eine Schätzung handelt, hilft ihr auch der Einwand nicht weiter, in einzelnen Fällen habe sie Vorsteuerbeträge gar nicht geltend gemacht. Die betreffende Umlage erweist sich als rechtmässig.</w:t>
      </w:r>
    </w:p>
    <w:p>
      <w:r>
        <w:rPr>
          <w:b/>
        </w:rPr>
        <w:t>E. 4.3</w:t>
      </w:r>
    </w:p>
    <w:p>
      <w:r>
        <w:t>Die von der ESTV vorgenommene Umlage auf die Jahre 1998 bis 2000 erfüllt hingegen die nach der Rechtsprechung zu erfüllenden Voraussetzungen (E. 3.4) nicht. Die massgebenden Verhältnisse der geprüften Zeit vom 1. Januar 2002 bis 30. Mai 2003 waren nicht mit den Jahren 1998 bis 2000 vergleichbar. Die Beschwerdeführerin hat auf den 1. Januar 2001 14 regionale Genossenschaften sowie die B._______ durch Fusion übernommen. Die Organisationsstruktur vor und nach der Fusion lässt sich nicht vergleichen. Es bestehen deshalb begründete Anhaltspunkte, dass die bei der Beschwerdeführerin festgestellten Mängel nicht auf die Zeit vor der Fusion übertragen werden können. Die ESTV hätte zumindest eine stichprobenweise Überprüfung der Jahre 1998 bis 2000 vornehmen müssen, auch wenn dies mit erheblichem zusätzlichem Aufwand verbunden gewesen wäre. Die erforderlichen Belege waren offensichtlich bei den regionalen Genossenschaften in Papierform bzw. Microfiche vorhanden (vgl. Schreiben der Beschwerdeführerin vom 26. März 2007; amtl. Akten Nr. 6). Eine stichprobenweise Überprüfung der Jahre vor der Fusion - zumindest bei einer Auswahl der regionalen Genossenschaften - wäre nicht nur möglich, sondern auch zumutbar gewesen. Die Umlage auf die Jahre 1998 bis 2000 erweist sich somit als unzulässig. Im Weiteren handelt es sich bei der vorliegend im Streit liegenden Rechnung der X._______AG vom 31. Mai 2002 um eine solche für eine Management-Tagung mit über 2'000 Personen. Unbestrittenermassen gab es vor der Fusion keine Anlässe im vergleichbaren Umfang. Die Umlage der hinsichtlich dieser Rechnung zu viel vorgenommenen Vorsteuerabzüge auf die Zeit vor dem 1. Januar 2001 ist auch aus diesem Grund unzulässig. Keine Auswirkung hat im Übrigen der Umstand, dass die ESTV vorgehabt hatte, frühere Jahre stichprobenweise zu überprüfen (vgl. Schreiben der ESTV vom 2. März 2007; amtl. Akten Nr. 5), die Beschwerdeführerin indessen vorschlug, aufgrund des erheblichen Aufwands hinsichtlich der Perioden vor der Fusion 10 weitere Schachteln mit Belegen aus dem 1. Semester 2002 zu kontrollieren (vgl. amtl. Akten Nr. 6). Zum einen hat die ESTV diesen Vorschlag nur insoweit akzeptiert, als sie anstatt frühere Jahre die Zeit vom 2. Januar bis 30. Mai 2003 zusätzlich überprüfte und andererseits trägt die ESTV die Letztverantwortung für eine rechtmässige Schätzung. Sie könnte sich deshalb auch nicht erfolgreich auf Treu und Glauben hinsichtlich der Auswahl der stichprobenweise kontrollierten Perioden berufen. Der Einspracheentscheid der ESTV vom 25. Mai 2009 betreffend das 1. Quartal 1998 bis 4. Quartal 2000 ist folglich teilweise aufzuheben und die Rechnung der X._______AG vom 31. Mai 2002 antragsgemäss nicht in die Berechnung der Umlage einzubeziehen. Die Sache wird der ESTV insoweit zur Fällung eines neuen Einspracheentscheids bzw. zur genauen Berechnung zurückgewiesen.</w:t>
      </w:r>
    </w:p>
    <w:p>
      <w:r>
        <w:rPr>
          <w:b/>
        </w:rPr>
        <w:t>E. 5.1</w:t>
      </w:r>
    </w:p>
    <w:p>
      <w:r>
        <w:t>Dem Gesagten zufolge ist die Beschwerde im Sinn der Erwägungen teilweise gutzuheissen. Die Verfahrenskosten von Fr. 9'500.-- (Art. 4 des Reglements vom 21. Februar 2008 über die Kosten und Entschädigungen vor dem Bundesverwaltungsgericht [VGKE, SR 173.320.2]) werden der teilweise unterlegenen Beschwerdeführerin gemäss Art. 63 Abs. 1 VwVG im Umfang von Fr. 4'500.-- auferlegt. Der Vorinstanz können keine Verfahrenskosten auferlegt werden (Art. 63 Abs. 2 VwVG).</w:t>
      </w:r>
    </w:p>
    <w:p>
      <w:r>
        <w:rPr>
          <w:b/>
        </w:rPr>
        <w:t>E. 5.2</w:t>
      </w:r>
    </w:p>
    <w:p>
      <w:r>
        <w:t>Die ESTV hat der teilweise obsiegenden Beschwerdeführerin eine reduzierte Parteientschädigung auszurichten (Art. 64 Abs. 1 VwVG i.V.m. Art. 7 bis 9 VGKE). Die Parteientschädigung ist aufgrund der eingereichten detaillierten Kostennote festzusetzen (Art. 14 VGKE), wobei sich die geltend gemachte Stundenentschädigung im Rahmen der reglementarischen Vorgaben bewegen muss und auch hier nur der notwendige Zeitaufwand zu entschädigen ist (Art. 10 VGKE). Bei Fehlen einer (detaillierten) Kostennote wird die Entschädigung aufgrund der Akten festgesetzt (Art. 14 Abs. 2 VGKE). Mit Schreiben vom 13. Juli 2009 reichte die Beschwerdeführerin eine Kostennote von insgesamt Fr. 22'596.-- ein. Aus dieser ist ersichtlich, welche Arbeiten durchgeführt worden sind (Akten- und Rechtsstudium, Erarbeitung der Beschwerden, Sitzung, diverse e-Mails). Nicht ersichtlich ist jedoch, wie viel Zeit für welche Tätigkeit und wie viele Stunden insgesamt aufgewendet worden sind. Eine Überprüfung, ob der Stundenansatz dem Höchstsatz der reglementarischen Vorgaben (Art. 10 Abs. 2 und 3 VGKE) entspricht, ist nicht möglich. Ebensowenig kann überprüft werden, ob es sich beim geltend gemachten Aufwand vollumfänglich um entschädigungsberechtigten notwendigen Aufwand im Sinn der bundesgerichtlichen Rechtsprechung handelt. In Anwendung von Art. 14 Abs. 2 VGKE muss deshalb über die Entschädigung aufgrund der Akten entschieden werden, zumal angesichts der erwähnten klaren reglementarischen Grundlagen auf eine Aufforderung zur Einreichung einer verbesserten Kostennote verzichtet wird (vgl. zum Ganzen Urteil des Bundesverwaltungsgerichts A-1500/2006 vom 1. Oktober 2008 E. 7.2). Angesichts des Umfangs der Eingaben der Beschwerdeführerin, der Schwierigkeit der rechtlichen Fragestellungen und der bloss teilweisen Gutheissung der Beschwerde wird die Parteientschädigung ermessensweise auf Fr. 7'000.--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