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A-4133/2016 vom 6. Februar 2017</w:t>
      </w:r>
    </w:p>
    <w:p>
      <w:r>
        <w:t>Bundesverwaltungsgericht, 2017-02-06, DE</w:t>
      </w:r>
    </w:p>
    <w:p>
      <w:r>
        <w:rPr>
          <w:b/>
        </w:rPr>
        <w:t xml:space="preserve">Quelle: </w:t>
      </w:r>
      <w:r>
        <w:t>https://mcp.opencaselaw.ch/entscheid/bvger_A-4133_2016</w:t>
      </w:r>
    </w:p>
    <w:p>
      <w:r>
        <w:t>FR: TAF A-4133/2016 du 6 février 2017</w:t>
      </w:r>
    </w:p>
    <w:p>
      <w:r>
        <w:t>IT: TAF A-4133/2016 del 6 febbraio 2017</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vorliegende Beschwerdeverfahren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ist mit seinen Begehren vor der Vorinstanz nicht durchgedrungen. Als formeller Adressat der angefochtenen Verfügung hat er daher ein aktuelles, schutzwürdiges Interesse an deren Aufhebung und ist folglich zur vorliegenden Beschwerde legitimiert.</w:t>
      </w:r>
    </w:p>
    <w:p>
      <w:r>
        <w:rPr>
          <w:b/>
        </w:rPr>
        <w:t>E. 1.3</w:t>
      </w:r>
    </w:p>
    <w:p>
      <w:r>
        <w:t>Auf die im Übrigen form- und fristgerecht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3.1</w:t>
      </w:r>
    </w:p>
    <w:p>
      <w:r>
        <w:t>Die Erstinstanz hat mit ihrer Verfügung vom 4. März 2016 festgehalten, dass der Beschwerdeführer seit dem 1. Januar 1998 ununterbrochen für den privaten Radio- und Fernsehempfang gebührenpflichtig ist. Damit liegt eine Feststellungsverfügung im Sinne von Art. 25 Abs. 1 VwVG vor.</w:t>
      </w:r>
    </w:p>
    <w:p>
      <w:r>
        <w:rPr>
          <w:b/>
        </w:rPr>
        <w:t>E. 3.1.1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dem schutzwürdigen Interesse mit einer Feststellungsverfügung besser entsprochen werden als mit einer Leistungs- oder Gestaltungsverfügung, reicht dies aus (Urteile des BVGer A-1421/2015 vom 23. September 2015 E. 2.2.2, A-3505/2012 vom 24. Juni 2014 E. 1.3, A-3343/2013 vom 10. Dezember 2013 E. 1.3.1; vgl. BGE 137 II 199 E. 6.5, 135 III 378 E. 2.2; Isabelle Häner, in: Waldmann/Weissenberger [Hrsg.], Praxiskommentar Verwaltungsverfahrensgesetz, 2. Auflage 2016 [nachfolgend: Praxiskommentar VwVG], Art. 25 N. 17 ff.).</w:t>
      </w:r>
    </w:p>
    <w:p>
      <w:r>
        <w:rPr>
          <w:b/>
        </w:rPr>
        <w:t>E. 3.1.2</w:t>
      </w:r>
    </w:p>
    <w:p>
      <w:r>
        <w:t>Soll eine Feststellungsverfügung von Amtes wegen erlassen werden, bedarf es dafür eines spezifischen, dem schutzwürdigen Interesse einer gesuchstellenden Person entsprechenden öffentlichen Feststellungsinteresses (Urteil des BVGer A-6175/2013 vom 12. Februar 2015 E. 2.7.2; BGE 137 II 199 E. 6.5.1; Kölz/Häner/Bertschi, Verwaltungsverfahren und Verwaltungsrechtspflege des Bundes, 3. Auflage 2013, Rz. 348). Das erwähnte Gebot der Subsidiarität der Feststellungsverfügung gilt auch dann, wenn eine Behörde im Rahmen von Vollzugsaufgaben von sich aus eine Verfügung erlässt. Da sich ein Leistungsbegehren grundsätzlich nur auf einen abgeschlossenen Zeitraum beziehen kann, muss eine Feststellungsverfügung erlassen werden, wenn in Bezug auf ein andauerndes Rechtsverhältnis künftige Leistungen mitbeurteilt werden müssen (BVGE 2009/9 E. 2.2; Urteil des BVGer A-7169/2008 vom 19. Februar 2010 E. 2.7; Kölz/Häner/Bertschi, a.a.O., Rz. 351; Andreas Kley, Die Feststellungsverfügung, in: Bernhard Ehrenzeller et al. [Hrsg.], Festschrift für Yvo Hangartner, 1998, S. 229 ff., S. 239). Eine ohne die Erfüllung der hiervor genannten Voraussetzungen erlassene Feststellungsverfügung ist nach bundesgerichtlicher Rechtsprechung aufzuheben (Urteil des BGer 2C_737/2010 vom 18. Juni 2011 E. 4.6; vgl. auch Kölz/Häner/Bertschi, a.a.O., Rz. 357).</w:t>
      </w:r>
    </w:p>
    <w:p>
      <w:r>
        <w:rPr>
          <w:b/>
        </w:rPr>
        <w:t>E. 3.1.3</w:t>
      </w:r>
    </w:p>
    <w:p>
      <w:r>
        <w:t>Die vorliegende Streitigkeit dreht sich einerseits um die Nachforderung von Empfangsgebühren für die Periode vom 1. April 2011 bis 31. Januar 2016. Andererseits gab der Beschwerdeführer anlässlich der Korrespondenz mit der Erstinstanz auch verschiedentlich zu verstehen, inskünftig keine Gebühren bezahlen zu wollen. Die feststellende Betrachtung der Erstinstanz bezog sich entsprechend nicht nur auf die Gebührenpflicht für den zurückliegenden Zeitraum, sondern richtete sich ebenso in die Zukunft und zwar mit unbestimmtem Zeithorizont (vgl. e contrario Urteil des BVGer A-3982/2015 vom 4. Januar 2016 E. 4.3.1 ff.). Unter diesen Umständen ist ein Feststellungsinteresse der Erstinstanz zu bejahen. Es ist nicht zu beanstanden, dass sie am 4. März 2016 entsprechend das Mittel der Feststellungsverfügung wählte.</w:t>
      </w:r>
    </w:p>
    <w:p>
      <w:r>
        <w:rPr>
          <w:b/>
        </w:rPr>
        <w:t>E. 3.2</w:t>
      </w:r>
    </w:p>
    <w:p>
      <w:r>
        <w:t>Gegenstand des Beschwerdeverfahrens kann nur sein, was Gegenstand der vorinstanzlichen Verfügung war oder nach richtiger Gesetzesauslegung hätte sein sollen. Gegenstände, über welche die Vorinstanz nicht entschieden hat und über die sie nicht zu entscheiden hatte, sind aus Gründen der funktionellen Zuständigkeit durch die zweite Instanz nicht zu beurteilen (Urteile des BGer 2A.121/2004 vom 16. März 2005 E. 2.1, 2C_642/2007 vom 3. März 2008 E. 2.2; statt vieler: BVGE 2010/12 E. 1.2.1; Moser/Beusch/Kneubühler, Prozessieren vor dem Bundesverwaltungsgericht, 2. Auflage 2013, Rz. 2.8 m.H.).</w:t>
      </w:r>
    </w:p>
    <w:p>
      <w:r>
        <w:rPr>
          <w:b/>
        </w:rPr>
        <w:t>E. 3.2.1</w:t>
      </w:r>
    </w:p>
    <w:p>
      <w:r>
        <w:t>Der Regelungsgehalt der Feststellungsverfügung ist grundsätzlich im Zeitpunkt ihres Erlasses im Sinne einer Momentaufnahme auszulegen. Die Erstinstanz hielt einerseits rückwirkend - ab Erlass ihrer Verfügung vom 4. März 2016 - bis zum 1. Januar 1998 und andererseits in die Zukunft gerichtet die Gebührenpflicht des Beschwerdeführers für den Radio- und Fernsehempfang fest. Diese Feststellung steht unter dem Vorbehalt, dass nicht ein Umstand eintritt, welcher die (teilweise) Befreiung von der Gebührenpflicht rechtfertigen würde. Solche Gründe wären etwa darin zu sehen, dass der Beschwerdeführer über kein Empfangsgerät mehr verfügt, einen Anspruch auf Ergänzungsleistungen nachweisen kann oder sich bei der Erstinstanz infolge Wegzugs abmeldet (vgl. nachfolgend E. 4.3). Der Eintritt eines solchen Umstands begrenzt demnach die offene Geltungsdauer der Feststellungsverfügung, ändert sich doch damit die festgestellte Rechtsfolge (vgl. Urteil des BVGer A-3702/2011 vom 25. Januar 2016 E. 3.2.1). Ein solcher Umstand ist mit der Abmeldung vom privaten Fernsehempfang des Beschwerdeführers per Ende April 2016 unstreitig eingetreten. Der Gegenstand der Verfügung vom 4. März 2016 hat sich damit mit Blick auf die Gebührenpflicht für den Fernsehempfang nachträglich auf die Zeitperiode vom 1. Januar 1998 bis Ende April 2016 reduziert. Bezüglich des Radioempfangs hat die Feststellung dagegen (noch) keine zeitliche Begrenzung erfahren. Im Folgenden ist zu prüfen, ob der dahingehend zu verstehende Verfügungsinhalt rechtmässig ist.</w:t>
      </w:r>
    </w:p>
    <w:p>
      <w:r>
        <w:rPr>
          <w:b/>
        </w:rPr>
        <w:t>E. 4.1</w:t>
      </w:r>
    </w:p>
    <w:p>
      <w:r>
        <w:t>Am 1. Juli 2016 sind die revidierten Bestimmungen des Bundesgesetzes vom 24. März 2006 über Radio und Fernsehen (RTVG, SR 748.40) und der Radio- und Fernsehverordnung vom 9. März 2007 (RTVV, SR 784.401) in Kraft getreten. Der damit einhergehende Wechsel zur allgemeinen Abgabe soll spätestens 2019 erfolgen. Bis dahin wird die Empfangsgebühr für den privaten und für den gewerblichen Empfang nach bisherigem Recht erhoben (Art. 109b Abs. 2 RTVG i.V.m. Art. 86 RTVV). Die interessierende Feststellungsverfügung vom 4. März 2016 ist entsprechend nach den bisherigen Bestimmungen zu beurteilen. Die Modalitäten der Gebührenpflicht sind wie folgt geregelt: Wer ein zum Empfang von Radio- und Fernsehprogrammen geeignetes Gerät zum Betrieb bereithält oder betreibt, muss dies der Gebührenerhebungsstelle vorgängig melden und eine Empfangsgebühr bezahlen (aArt. 68 Abs. 1 und 3 RTVG). Die Gebührenpflicht knüpft nicht an den tatsächlichen Radio- oder Fernsehkonsum an, sondern an die blosse Möglichkeit, entsprechende Programme zu empfangen (vgl. Urteil des BVGer A-4090/2015 vom 23. Februar 2016 E. 3.1 mit Verweisen). Die Empfangsgebühr ist pro Haushalt oder Geschäftsstelle nur einmal geschuldet, unabhängig von der Zahl der Empfangsgeräte (aArt. 68 Abs. 2 RTVG). Änderungen der meldepflichtigen Sachverhalte sind der Gebührenerhebungsstelle schriftlich zu melden (sog. Melde- und Mitwirkungspflicht; aArt. 68 Abs. 3 RTVG i.V.m. aArt. 60 Abs. 1 RTVV).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(aArt. 68 Abs. 4 und 5 RTVG; vgl. zum Ganzen statt vieler Urteile des BVGer A-1229/2014 vom 23. Juni 2014 E. 4.1, A-6460/2012 vom 2. Mai 2013 E. 4.1 und A-4134/2012 vom 7. März 2013 E. 3.1 je m.H.).</w:t>
      </w:r>
    </w:p>
    <w:p>
      <w:r>
        <w:rPr>
          <w:b/>
        </w:rPr>
        <w:t>E. 4.2.1</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BGer 2C_629/2007 vom 13. März 2008 E. 2.1 sowie 2A.621/2004 vom 3. November 2004 E. 2.2; statt vieler Urteile des BVGer A-1229/2014 vom 23. Juni 2014 E. 4.3, A-6460/2012 vom 2. Mai 2013 E. 4.1.1, A-4192/2011 vom 22. Dezember 2011 E. 4.1, je m.H.). Namentlich wird die Gebührenpflicht nicht bereits durch die blosse Unzustellbarkeit beziehungsweise den blossen Nichterhalt von Rechnungen beendet oder durch den Antrag auf Änderung einer Rechnungsadresse (vgl. aArt. 68 Abs. 5 RTVG; vgl. statt vieler Urteile des BVGer A-1229/2014 vom 23. Juni 2014 E. 6.2, A-6460/2012 vom 2. Mai 2013 E. 4.1.1, A-1548/2012 vom 20. August 2012 E. 3.1.1, je m.H. und A-4481/2010 vom 8. Dezember 2010 E. 6.1).</w:t>
      </w:r>
    </w:p>
    <w:p>
      <w:r>
        <w:rPr>
          <w:b/>
        </w:rPr>
        <w:t>E. 4.2.2</w:t>
      </w:r>
    </w:p>
    <w:p>
      <w:r>
        <w:t>Den gesetzlichen Bestimmungen über die Beendigung der Gebührenpflicht lässt sich weiter entnehmen, dass diese bestehen bleibt, solange die schriftliche Mitteilung über das die Gebührenpflicht beendende Ereignis der Erstinstanz nicht zugegangen ist (vgl. aArt. 68 Abs. 5 RTVG). Somit kann die schriftliche Mitteilung, wenn sie erfolgt, nur Auswirkungen für die Zukunft, nicht aber rückwirkend für die Vergangenheit haben. Dies gilt selbst dann, wenn im fraglichen Zeitraum tatsächlich keine betriebsbereiten Geräte mehr vorhanden waren. Eine rückwirkende Beendigung ist unabhängig von den tatsächlichen Verhältnissen durch den Wortlaut des Gesetzes ausgeschlossen (vgl. Urteile des BGer 2C_629/2007 vom 13. März 2008 E. 2 und 2A.621/2004 vom 3. November 2004 E. 2.2; ferner: Rolf H. Weber, Rundfunkrecht: Bundesgesetz vom 24. März 2006 über Radio und Fernsehen [RTVG], Handkommentar, 2008, Art. 68 N. 9).</w:t>
      </w:r>
    </w:p>
    <w:p>
      <w:r>
        <w:rPr>
          <w:b/>
        </w:rPr>
        <w:t>E. 4.3</w:t>
      </w:r>
    </w:p>
    <w:p>
      <w:r>
        <w:t>Die Radio- und Fernsehgesetzgebung sieht im Übrigen sowohl eine Gebührenbefreiung von Gesetzes wegen als auch auf schriftliches Gesuch hin vor. In die Kategorie der von Gesetzes wegen von der Gebührenpflicht befreiten Benutzerinnen und Benutzer fallen - unter bestimmten Voraussetzungen - Personen mit Wohnsitz im Ausland, die Bewohnerinnen und Bewohner von Pflegeheimen ab einer bestimmten Pflegebedarfsstufe, die Bundesbehörden in Dienst- und Aufenthaltsräumen sowie die diplomatischen Vertretungen und deren Personal (aArt. 68 Abs. 6 RTVG i.V.m. aArt. 63 RTVV). Die Aufzählung der Gebührenbefreiungsgründe ist abschliessend (Urteil des BVGer A-1855/2013 vom 10. März 2013 E. 4 mit Verweisen; vgl. Rolf H. Weber, a.a.O., Art. 68 N. 12). Auf schriftliches Gesuch hin befreit die Gebührenerhebungsstelle AHV- oder IV-Berechtigte von der Gebührenpflicht, die (jährliche) Leistungen nach dem Bundesgesetz vom 6. Oktober 2006 über Ergänzungsleistungen zur Alters-, Hinterlassenen- und Invalidenversicherung erhalten und einen rechtskräftigen Entscheid über den Anspruch auf Ergänzungsleistung einreichen (aArt. 64 Abs. 1 RTVV).</w:t>
      </w:r>
    </w:p>
    <w:p>
      <w:r>
        <w:rPr>
          <w:b/>
        </w:rPr>
        <w:t>E. 5</w:t>
      </w:r>
    </w:p>
    <w:p>
      <w:r>
        <w:t>Der Beschwerdeführer ist unbestrittenermassen seit dem 1. Januar 1998 bei der Erstinstanz für den privaten Radio- und Fernsehempfang angemeldet und unterliegt damit seither grundsätzlich der Gebührenpflicht. Nachdem der Beschwerdeführer seinen Wohnort gewechselt hatte, stellte die Erstinstanz die Zustellung der Gebührenrechnungen mangels Kenntnis der neuen Adresse ein. Der Beschwerdeführer macht geltend, die Adressänderung auf einem Einzahlungsschein vermerkt und damit der Erstinstanz gemeldet zu haben. Selbst wenn er dies getan haben sollte, ist fraglich, ob er damit die ihm obliegende Melde- und Mitwirkungspflicht erfüllt hat. Letztlich ist aber irrelevant, wem die eingestellte Rechnungsstellung anzulasten ist, da alleine durch den Umstand, dass keine Rechnungen mehr zugestellt wurden, die Gebührenpflicht für den fraglichen Zeitraum nicht entfiel (vgl. E. 4.2.1). Zwischen November 2015 und Februar 2016 teilte der Beschwerdeführer der Erstinstanz verschiedentlich mit, seinen Fernseher nicht für den Empfang von Fernsehsendungen zu nutzen. Dabei machte er allerdings nicht geltend, sein Gerät sei dazu technisch gar nicht in der Lage. Dies tat er erst mit Schreiben vom 26. April 2016, was die Erstinstanz dazu veranlasste, ihn per Ende April 2016 von der Gebührenpflicht für den privaten Empfang von Fernsehprogrammen zu befreien. Damit hielt sich die Erstinstanz an die gesetzliche Regelung, wonach eine bestehende Empfangsgebühr erst entfällt, wenn kein empfangsbereites Gerät mehr zur Verfügung steht und dies zudem der Gebührenerhebungsstelle ordnungsgemäss gemeldet worden ist. Schliesslich fällt der Beschwerdeführer nicht unter eine Kategorie von Personen, die von Gesetzes wegen von der Gebührenpflicht befreit sind (vgl. aArt. 63 RTVV). Ebenso liegt kein schriftliches Gesuch des Beschwerdeführers vor, wonach er ein AHV- oder IV-Berechtigter mit Ergänzungsleistungen wäre und eine Befreiung beantragt hätte (vgl. aArt. 64 Abs. 1 RTVV). Des Weiteren vermag sich der Beschwerdeführer mit den geltend gemachten finanziellen Schwierigkeiten nicht auf einen Befreiungsgrund zu berufen.</w:t>
      </w:r>
    </w:p>
    <w:p>
      <w:r>
        <w:rPr>
          <w:b/>
        </w:rPr>
        <w:t>E. 6</w:t>
      </w:r>
    </w:p>
    <w:p>
      <w:r>
        <w:t>Gestützt auf die vorstehenden Erwägungen erweist sich die von der Erstinstanz mit Verfügung vom 4. März 2016 festgestellte Gebührenpflicht des Beschwerdeführers für den privaten Radio- und Fernsehempfang als rechtmässig. Die Vorinstanz hat diese Verfügung zu Recht bestätigt. Die gegen ihren Entscheid erhobene Beschwerde ist entsprechend abzuweisen.</w:t>
      </w:r>
    </w:p>
    <w:p>
      <w:r>
        <w:rPr>
          <w:b/>
        </w:rPr>
        <w:t>E. 7</w:t>
      </w:r>
    </w:p>
    <w:p>
      <w:r>
        <w:t>Bei diesem Verfahrensausgang gilt der Beschwerdeführer als unterliegende Partei, weshalb ihm in Anwendung von Art. 63 Abs. 1 VwVG die auf Fr. 500.- festzusetzenden Verfahrenskosten aufzuerlegen sind. Die ihm überbundenen Verfahrenskosten sind dem geleisteten Kostenvorschuss in derselben Höhe zu entnehmen. Dem nicht vertretenen und unterliegenden Beschwerdeführer steht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