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A-4122/2024 vom 29. Oktober 2024</w:t>
      </w:r>
    </w:p>
    <w:p>
      <w:r>
        <w:t>Bundesverwaltungsgericht, 2024-10-29, DE</w:t>
      </w:r>
    </w:p>
    <w:p>
      <w:r>
        <w:rPr>
          <w:b/>
        </w:rPr>
        <w:t xml:space="preserve">Quelle: </w:t>
      </w:r>
      <w:r>
        <w:t>https://mcp.opencaselaw.ch/entscheid/bvger_A-4122_2024</w:t>
      </w:r>
    </w:p>
    <w:p>
      <w:r>
        <w:t>FR: TAF A-4122/2024 du 29 octobre 2024</w:t>
      </w:r>
    </w:p>
    <w:p>
      <w:r>
        <w:t>IT: TAF A-4122/2024 del 29 ottobre 2024</w:t>
      </w:r>
    </w:p>
    <w:p>
      <w:pPr>
        <w:pStyle w:val="Heading2"/>
      </w:pPr>
      <w:r>
        <w:t>Regeste</w:t>
      </w:r>
    </w:p>
    <w:p>
      <w:r>
        <w:t>Bundespersonal</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vom 23. Mai 2024 ist eine Verfügung im genannten Sinn. Er stammt von einer zulässigen Vorinstanz gemäss Art. 33 Bst. d VGG (vgl. Art. 3 Abs. 2 des Bundespersonalgesetzes vom 24. März 2000 [BPG; SR 172.220.1] i.V.m. Art. 2 Abs. 5 BPV i.V.m. Anhang 1, B. Ziff. II.1.8 der Regierungs- und Verwaltungsorganisationsverordnung vom 25. November 1998 [RVOV, SR 172.010.1]). Eine Ausnahme nach Art. 32 VGG liegt nicht vor und das Bundesverwaltungsgericht ist demnach für die Beurteilung der vorliegenden Beschwerde zuständig (vgl. auch Art. 36 Abs. 1 BPG).</w:t>
      </w:r>
    </w:p>
    <w:p>
      <w:r>
        <w:rPr>
          <w:b/>
        </w:rPr>
        <w:t>E. 1.2</w:t>
      </w:r>
    </w:p>
    <w:p>
      <w:r>
        <w:t>Gemäss Art. 48 Abs. 1 VwVG ist zur Beschwerde ans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mit ihren Vorbringen nicht durchgedrungen. Sie ist durch die Verfügung auch materiell beschwert und damit ohne Weiteres zur Beschwerde legitimiert.</w:t>
      </w:r>
    </w:p>
    <w:p>
      <w:r>
        <w:rPr>
          <w:b/>
        </w:rPr>
        <w:t>E. 1.3.1</w:t>
      </w:r>
    </w:p>
    <w:p>
      <w:r>
        <w:t>Die Vorinstanz beantragt in ihrer Vernehmlassung, es sei auf die Beschwerde zufolge verspäteter Beschwerdeerhebung nicht einzutreten. Zur Begründung bringt sie im Wesentlichen vor, sie habe die angefochtene Verfügung am 23. Mai 2024 mit eingeschriebener Briefpostsendung sowohl der Beschwerdeführerin als auch deren Rechtsvertreterin zugestellt. Die Beschwerdeführerin habe die Verfügung am 25. Mai 2024 in Empfang genommen und am 27. Mai 2024 ihrer Rechtsvertreterin übermittelt. Die Beschwerdefrist habe am 28. Mai 2024 zu laufen begonnen und sei folglich am 26. Juni 2024 abgelaufen. Nach dem Grundsatz von Treu und Glauben könne sich die Rechtsvertreterin nicht auf das spätere Datum berufen, zumal aus der Verfügung klar hervorgehe, dass die gleichlautende Verfügung auch an sie als Rechtsvertreterin adressiert gewesen sei. Die Beschwerde vom 1. Juli 2024 sei demnach verspätet.</w:t>
      </w:r>
    </w:p>
    <w:p>
      <w:r>
        <w:rPr>
          <w:b/>
        </w:rPr>
        <w:t>E. 1.3.2</w:t>
      </w:r>
    </w:p>
    <w:p>
      <w:r>
        <w:t>Dagegen wendet die Beschwerdeführerin ein, es sei nicht die Kenntnisnahme durch die vertretene Partei, sondern der Zeitpunkt der Eröffnung an die Rechtsvertretung entscheidend. Als Eröffnungszeitpunkt gelte derjenige Zeitpunkt, an dem die Rechtsvertretung den Brief von der Post erhalten habe.</w:t>
      </w:r>
    </w:p>
    <w:p>
      <w:r>
        <w:rPr>
          <w:b/>
        </w:rPr>
        <w:t>E. 1.4.1</w:t>
      </w:r>
    </w:p>
    <w:p>
      <w:r>
        <w:t>Das Bundesverwaltungsgericht prüft die Einhaltung der Fristen von Amtes wegen. Die Beschwerde ist innerhalb von 30 Tagen nach Eröffnung der Verfügung einzureichen (Art. 50 Abs. 1 VwVG). Art. 50 Abs. 1 VwVG statuiert eine gesetzliche Verwirkungsfrist. Wird die Beschwerdefrist nicht eingehalten, so tritt das Gericht auf die Beschwerde nicht ein (André Moser/Michael Beusch/Lorenz Kneubühler/Martin Kayser, Prozessieren vor dem Bundesverwaltungsgericht, 3. Aufl. 2022, Rz. 2.131). Die Frist für eine schriftliche Eingabe ist gewahrt, wenn diese am letzten Tag der Frist dem Bundesverwaltungsgericht oder zu dessen Handen der Schweizerischen Post übergeben wird (Art. 21 Abs. 1 VwVG).</w:t>
      </w:r>
    </w:p>
    <w:p>
      <w:r>
        <w:rPr>
          <w:b/>
        </w:rPr>
        <w:t>E. 1.4.2</w:t>
      </w:r>
    </w:p>
    <w:p>
      <w:r>
        <w:t>Berechnet sich eine Frist nach Tagen und bedarf sie der Mitteilung an die Parteien, so beginnt sie an dem auf ihre Mitteilung folgenden Tag zu laufen (Art. 20 Abs. 1 VwVG). Die Behörde eröffnet Verfügungen den Parteien schriftlich (Art. 34 Abs. 1 VwVG). Die Verfügung entfaltet ihre Rechtswirkungen vom Zeitpunkt der ordnungsgemässen Zustellung an, womit auch die Rechtsmittelfristen zu laufen beginnen (Moser/Beusch/Kneubühler/Kayser, a.a.O., Rz. 2.114 m.w.H.). Erst mit der Zustellung ist die Adressatin tatsächlich in der Lage, von der Tatsache, dass eine spezifische Verfügung ergangen ist und von deren Inhalt und insbesondere von deren Begründung Kenntnis zu nehmen. Sie gilt nach konstanter Rechtsprechung im Sinne eines Rechtsgrundsatzes als dann erfolgt, wenn die Verfügung auf ordentlichem Weg in den Machtbereich der Adressatin gelangt ist (BGE 142 III 599 E. 2.4.1 S. 603; Urteile des BGer 2C_570/2011 vom 24. Januar 2012 E. 4.1 und 2C_430/2009 vom 14. Januar 2010 E. 2.4, je m.w.H.). Unter dem Machtbereich wird dabei die Sphäre der Adressatin verstanden, in welcher nach Treu und Glauben davon ausgegangen werden kann, dass sie von der Existenz und vom Inhalt der Verfügung durch die normale Organisation ihrer Angelegenheiten Kenntnis nehmen kann. Die tatsächliche Kenntnisnahme ist dagegen gemäss ständiger Rechtsprechung des Bundesgerichts für den Erfolg einer Zustellung nicht erforderlich (BGE 142 III 599 E. 2.4.1 S. 603; 122 I 139 E. 1 S. 143 und 115 Ia 12 E. 3b S. 17 sowie Urteil des BGer 2C_430/2009 vom 14. Januar 2010 E. 2.4, je m.w.H.).</w:t>
      </w:r>
    </w:p>
    <w:p>
      <w:r>
        <w:rPr>
          <w:b/>
        </w:rPr>
        <w:t>E. 1.4.3</w:t>
      </w:r>
    </w:p>
    <w:p>
      <w:r>
        <w:t>Ist eine Partei ordnungsgemäss vertreten, so hat die verfügende Behörde Mitteilungen und Verfügungen dem Bevollmächtigten zuzustellen (vgl. dazu Art. 11 Abs. 3 VwVG; Vera Marantelli-Sonanini/Said Huber, in: Bernhard Waldmann/Patrick L. Krauskopf [Hrsg.], Praxiskommentar VwVG [nachfogend: Praxiskommentar], 3. Aufl. 2023, N. 16 und 29 zu Art. 11 VwVG m.w.H.). Wird trotz bekanntem Vertretungsverhältnis die Verfügung ausschliesslich dem Adressaten zugestellt, so ist die Eröffnung mangelhaft (Felix Uhlmann/Alexandra Schilling-Schwank, Praxiskommentar, N. 27 zu Art. 34 VwVG; Gregor Gassmann, Die Zustellung von Verfügungen im eidgenössischen Steuerrecht, Diss. Zürich 2024, S. 35 f.; Jürg Stadelwieser, Die Eröffnung von Verfügungen, Diss. St. Gallen 1993, S. 91, je m.w.H.).</w:t>
      </w:r>
    </w:p>
    <w:p>
      <w:r>
        <w:rPr>
          <w:b/>
        </w:rPr>
        <w:t>E. 1.4.4</w:t>
      </w:r>
    </w:p>
    <w:p>
      <w:r>
        <w:t>Aus einer mangelhaften Eröffnung darf dem Adressaten insofern kein Rechtsnachteil erwachsen, als entgegen Art. 20 VwVG die Rechtsmittelfrist nicht zu laufen beginnt, bis der entsprechende Rechtsakt auch dem Vertreter mitgeteilt worden ist (Art. 38 VwVG; Uhlmann/Schilling-Schwank, a.a.O., N. 30 zu Art. 11 VwVG). Wird eine Verfügung sowohl der vertretenen Partei im Original als auch ihrer Rechtsvertretung in Kopie zugestellt, liegt nach der Rechtsprechung zwar ein Eröffnungsmangel vor, die Partei wird dadurch aber nicht irregeführt und benachteiligt, weshalb die Frist mit der Zustellung der Verfügungskopie an die Rechtsvertretung ausgelöst wird (Uhlmann/Schilling-Schwank, a.a.O., N. 12 zu Art. 38 VwVG; Urteile des BVGer D-5434/2012 vom 30. Oktober 2012 E. 1.6 und D-6518/2009 vom 6. Juni 2011 E. 4.3.1; BGE 99 V 177 E. 3). Nach der Praxis des Bundesgerichts beginnt die Rechtsmittelfrist bei mangelhafter Eröffnung erst ab dem Zeitpunkt zu laufen, in welchem eine Partei nach dem Grundsatz von Treu und Glauben im Besitz aller für die erfolgreiche Wahrung ihrer Rechte wesentlichen Elemente ist (BGE 143 IV 40 E. 3.4.2 S. 46; 102 Ib 91 E. 3 S. 93 f.; Lorenz Kneubühler/Ramona Pedrettti, in: Christoph Auer/Markus Müller/Benjamin Schindler [Hrsg.], Kommentar zum Bundesgesetz über das Verwaltungsverfahren, 2. Aufl. 2019, N. 26 zu Art. 38 VwVG; Moser/Beusch/Kneubühler/Kayser, a.a.O., Rz. 2.109). Dies trifft insbesondere im Zeitpunkt der tatsächlichen Kenntnisnahme der Verfügung zu. Ab dann befindet sich eine Partei in derselben Rechtsstellung wie eine Partei, welcher eine Verfügung im Sinne des geltenden Verwaltungsprozessrechts ordnungsgemäss eröffnet worden ist. Insbesondere kann sie tatsächlich Kenntnis vom Dispositiv, der Begründung und der Rechtsmittelbelehrung einer Verfügung nehmen. Sie erleidet ab diesem Zeitpunkt keinen Rechtsnachteil mehr, und die mangelhafte Zustellung wird insofern durch die tatsächliche Kenntnisnahme der Verfügung geheilt (Gassmann, a.a.O., S. 24).</w:t>
      </w:r>
    </w:p>
    <w:p>
      <w:r>
        <w:rPr>
          <w:b/>
        </w:rPr>
        <w:t>E. 1.4.5</w:t>
      </w:r>
    </w:p>
    <w:p>
      <w:r>
        <w:t>Im konkreten Fall ist unbestritten, dass die Beschwerdeführerin die von ihr am 25. Mai 2024 in Empfang genommene Verfügung am 27. Mai 2024 ihrer Rechtsvertreterin per E-Mail übermittelt hat. Ab diesem Zeitpunkt war die Verfügung somit im Machtbereich der Rechtsvertreterin und damit auch eröffnet. Der Fristenlauf begann am 28. Mai 2024 und endete am Mittwoch, dem 26. Juni 2024. Die Beschwerde vom 1. Juli 2024 erweist sich als verspätet, und auf die Beschwerde ist demnach nicht einzutreten.</w:t>
      </w:r>
    </w:p>
    <w:p>
      <w:r>
        <w:rPr>
          <w:b/>
        </w:rPr>
        <w:t>E. 2</w:t>
      </w:r>
    </w:p>
    <w:p>
      <w:r>
        <w:t>Zusammenfassend ergibt sich, dass auf die Beschwerde vom 1. Juli 2024 zufolge Fristversäumis nicht einzutreten ist. Der von der Beschwerdeführerin gestellte Verfahrensantrag auf Erlass vorsorglicher Massnahmen ist mit dem vorliegenden Beschwerdeentscheid als gegenstandslos geworden abzuschreiben.</w:t>
      </w:r>
    </w:p>
    <w:p>
      <w:r>
        <w:rPr>
          <w:b/>
        </w:rPr>
        <w:t>E. 3.1</w:t>
      </w:r>
    </w:p>
    <w:p>
      <w:r>
        <w:t>In personalrechtlichen Angelegenheiten ist das Beschwerdeverfahren vor dem Bundesverwaltungsgericht unabhängig vom Verfahrensausgang kostenlos (Art. 34 Abs. 2 BPG), weshalb keine Verfahrenskosten zu erheben sind.</w:t>
      </w:r>
    </w:p>
    <w:p>
      <w:r>
        <w:rPr>
          <w:b/>
        </w:rPr>
        <w:t>E. 3.2</w:t>
      </w:r>
    </w:p>
    <w:p>
      <w:r>
        <w:t>Die Beschwerdeführerin hat als unterliegende Partei keinen Anspruch auf eine Parteientschädigung (Art. 64 Abs. 1 VwVG i.V.m. Art. 7 Abs. 1 des Reglements vom 21. Februar 2008 über die Kosten und Entschädigungen vor dem Bundesverwaltungsgericht [VGKE, SR 173.320.2] e contrario). Der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