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A-4118/2021 vom 8. Februar 2023</w:t>
      </w:r>
    </w:p>
    <w:p>
      <w:r>
        <w:t>Bundesverwaltungsgericht, 2023-02-08, FR</w:t>
      </w:r>
    </w:p>
    <w:p>
      <w:r>
        <w:rPr>
          <w:b/>
        </w:rPr>
        <w:t xml:space="preserve">Quelle: </w:t>
      </w:r>
      <w:r>
        <w:t>https://mcp.opencaselaw.ch/entscheid/bvger_A-4118_2021</w:t>
      </w:r>
    </w:p>
    <w:p>
      <w:r>
        <w:t>FR: TAF A-4118/2021 du 8 février 2023</w:t>
      </w:r>
    </w:p>
    <w:p>
      <w:r>
        <w:t>IT: TAF A-4118/2021 del 8 febbraio 2023</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L'exception prévue à l'art. 32 al. 1 let. c LTAF n'étant pas réalisée en l'espèce, le Tribunal administratif fédéral est compétent, en vertu de l'art. 36 al. 1 de la loi du 24 mars 2000 sur le personnel de la Confédération (LPers, RS 172.220.1), pour connaître du présent recours, l'acte attaqué du 30 juillet 2021 ayant été rendu par l'employeur du recourant et satisfaisant aux conditions qui prévalent à la reconnaissance d'une décision au sens de l'art. 5 PA.</w:t>
      </w:r>
    </w:p>
    <w:p>
      <w:r>
        <w:rPr>
          <w:b/>
        </w:rPr>
        <w:t>E. 1.3</w:t>
      </w:r>
    </w:p>
    <w:p>
      <w:r>
        <w:t>Etant le destinataire de la décision attaquée et étant particulièrement atteint par la résiliation de ses rapports de travail, le recourant a qualité pour recourir conformément à l'art. 48 al. 1 PA.</w:t>
      </w:r>
    </w:p>
    <w:p>
      <w:r>
        <w:rPr>
          <w:b/>
        </w:rPr>
        <w:t>E. 1.4</w:t>
      </w:r>
    </w:p>
    <w:p>
      <w:r>
        <w:t>Pour le surplus, le recours a été déposé en temps utile (cf. art. 50 al. 1 PA) et en la forme requise (cf. art. 52 PA). Il est donc recevable.</w:t>
      </w:r>
    </w:p>
    <w:p>
      <w:r>
        <w:rPr>
          <w:b/>
        </w:rPr>
        <w:t>E. 2</w:t>
      </w:r>
    </w:p>
    <w:p>
      <w:r>
        <w:t>S'agissant de la participation de la caisse cantonale de chômage à la procédure, il y a lieu de retenir ce qui suit.</w:t>
      </w:r>
    </w:p>
    <w:p>
      <w:r>
        <w:rPr>
          <w:b/>
        </w:rPr>
        <w:t>E. 2.1</w:t>
      </w:r>
    </w:p>
    <w:p>
      <w:r>
        <w:t>L'intervention, qui n'est pas expressément prévue par la procédure administrative fédérale, est reconnue par la pratique et permet à des tiers dont l'intérêt est touché par une décision d'être intégrés dans une procédure et d'y participer. L'intervention dans l'échange d'écritures (cf. art. 57 al. 1 PA) permet d'étendre l'autorité de chose jugée de l'arrêt au tiers intervenant, si bien que, dans un procès ultérieur dirigé contre celui-ci, il devra se laisser opposer ledit arrêt. Le tiers intervenant doit se trouver dans une relation particulièrement étroite avec l'objet de la procédure (cf. ATF 135 II 384 consid. 1.2.1 ; arrêts du Tribunal fédéral [TF] 1C_250/2019 du 8 mai 2020 consid. 2, 2C_687/2016 consid. 2.1 et réf. cit. ; arrêts du Tribunal administratif fédéral [TAF] A-6627/2016 du 11 avril 2017 consid. 1.5).</w:t>
      </w:r>
    </w:p>
    <w:p>
      <w:r>
        <w:rPr>
          <w:b/>
        </w:rPr>
        <w:t>E. 2.2</w:t>
      </w:r>
    </w:p>
    <w:p>
      <w:r>
        <w:t>En l'espèce, la Caisse publique de chômage du canton (...), en opérant le versement de l'indemnité de chômage au sens de l'art. 29 LACI, se subroge à l'assuré dans tous ses droits envers l'employeur, y compris le privilège légal, jusqu'à concurrence de l'indemnité journalière versée (cf. art. 29 al. 2 LACI). Il convient dès lors d'admettre la requête en intervention du 14 décembre 2021. Les conclusions de la Caisse publique de chômage du canton (...) suivent ainsi le sort de la cause, et sa requête à se voir notifier un exemplaire de l'arrêt est admise.</w:t>
      </w:r>
    </w:p>
    <w:p>
      <w:r>
        <w:rPr>
          <w:b/>
        </w:rPr>
        <w:t>E. 3.1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arrêts du TAF A-680/2022 du 30 juin 2022 consid. 2.1, A-1112/2021 du 5 novembre 2021 consid. 2.1).</w:t>
      </w:r>
    </w:p>
    <w:p>
      <w:r>
        <w:rPr>
          <w:b/>
        </w:rPr>
        <w:t>E. 3.2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3.3</w:t>
      </w:r>
    </w:p>
    <w:p>
      <w:r>
        <w:t>L'objet du présent litige porte sur la question de savoir si le recourant a ou non transmis sa démission par son courrier du 11 avril 2021 et, cas échéant, si sa démission a été valablement révoquée. Il conviendra dans un premier temps de statuer sur la requête de preuves formulée par le recourant (cf. infra consid. 4). Dans un deuxième temps, il s'agira, après avoir rappelé le droit applicable (cf. infra consid. 5), d'analyser la question de la validité de la démission, respectivement de la révocation de cette dernière par le recourant (cf. infra consid. 6), puis, dans un troisième et dernier temps, de trancher la problématique d'un éventuel comportement contraire à la bonne foi de l'autorité inférieure (cf. infra consid. 6.7).</w:t>
      </w:r>
    </w:p>
    <w:p>
      <w:r>
        <w:rPr>
          <w:b/>
        </w:rPr>
        <w:t>E. 4</w:t>
      </w:r>
    </w:p>
    <w:p>
      <w:r>
        <w:t>Le recourant a sollicité la production, par l'autorité inférieure, de l'intégralité de son dossier. Il demande en outre son audition, ainsi que celle de plusieurs témoins devant le Tribunal.</w:t>
      </w:r>
    </w:p>
    <w:p>
      <w:r>
        <w:rPr>
          <w:b/>
        </w:rPr>
        <w:t>E. 4.1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 arrêt du TAF A-4054/2015 du 15 février 2016 consid. 2.3). En particulier, l'audition de témoins apparaît comme un moyen de preuve subsidiaire qui n'est utilisé qu'à titre exceptionnel lorsque les faits ne peuvent pas être élucidés d'une autre façon (cf. art. 14 al. 1 PA ; arrêts du TAF A-2632/2020 du 5 août 2021 consid. 2.3, A-1754/2017 du 12 décembre 2018 consid. 2.3), étant précisé que la procédure devant le Tribunal est essentiellement écrite et que l'art. 29 al. 2 Cst. ne garantit pas, de façon générale, le droit d'être entendu oralement (cf. ATF 140 I 68 consid. 9.6.1, 134 I 140 consid. 5.3 ; arrêts du TAF A-4663/2019 du 3 décembre 2021 consid. 2.3.1, A-1754/2017 du 12 décembre 2018 consid. 2.3).</w:t>
      </w:r>
    </w:p>
    <w:p>
      <w:r>
        <w:rPr>
          <w:b/>
        </w:rPr>
        <w:t>E. 4.2</w:t>
      </w:r>
    </w:p>
    <w:p>
      <w:r>
        <w:t>Au cas d'espèce, il n'apparaît pas nécessaire d'auditionner les parties ou des témoins. En effet, leur audition par le Tribunal ne serait pas à même d'apporter des éléments supplémentaires pertinents pour juger de l'issue du litige. Le dossier, en particulier avec le complément transmis par l'autorité inférieure par courrier du 25 août 2022, contient, selon une appréciation anticipée des preuves, tous les éléments nécessaires à juger de l'issue du litige, ceci en prenant également en considération les pièces fournies par le recourant à l'appui de son recours.</w:t>
      </w:r>
    </w:p>
    <w:p>
      <w:r>
        <w:rPr>
          <w:b/>
        </w:rPr>
        <w:t>E. 5</w:t>
      </w:r>
    </w:p>
    <w:p>
      <w:r>
        <w:t>Le cadre légal général dans lequel s'inscrit l'objet du litige est le suivant.</w:t>
      </w:r>
    </w:p>
    <w:p>
      <w:r>
        <w:rPr>
          <w:b/>
        </w:rPr>
        <w:t>E. 5.1</w:t>
      </w:r>
    </w:p>
    <w:p>
      <w:r>
        <w:t>Selon l'art. 6 al. 2 LPers, les dispositions pertinentes du Code des obligations du 30 mars 1911 (CO, RS 220) s'appliquent par analogie aux rapports de travail pour autant que la LPers et les autres lois fédérales n'en disposent pas autrement.</w:t>
      </w:r>
    </w:p>
    <w:p>
      <w:r>
        <w:rPr>
          <w:b/>
        </w:rPr>
        <w:t>E. 5.2</w:t>
      </w:r>
    </w:p>
    <w:p>
      <w:r>
        <w:t>Après la période d'essai, un contrat de travail de durée indéterminée soumis au droit public peut être résilié pour la fin d'un mois moyennant un délai de quatre mois à partir de la dixième année de service (cf. art. 30a al. 2 let. c OPers). L'employeur qui résilie un tel contrat est astreint de par la loi (cf. art. 34ss LPers) à signifier cette résiliation par le biais d'une décision, sujette à recours (cf. Wyler/Briguet, La fin des rapports de travail dans la fonction publique, Berne 2017, p. 11). Lorsque le contrat de travail soumis au droit public est résilié unilatéralement par l'employé, celui-ci exerce un droit formateur résolutoire, comme en droit privé, en vertu de l'art. 6 al. 2 LPers (cf. Wyler/Briguet, op. cit., p. 58 ; Boris Heinzer, La fin des rapports de service et le contentieux en droit fédéral de la fonction publique, in : Wyler (édit.), Panorama en droit du travail, 2009, p. 415 ; arrêt du TAF A-1447/2019 du 14 octobre 2019 consid. 3.1). En tant que droit formateur, la résiliation est un droit subjectif dont l'exercice, par une manifestation claire de volonté soumise à réception, modifie unilatéralement la situation du cocontractant (cf. ATF 146 V 169 consid. 4.3.3.2, 113 II 259 consid. 2a ; arrêts du TF 4A_479/2021 du 29 avril 2022 consid. 4.1). Ainsi, la résiliation est en principe inconditionnelle et irrévocable dès l'instant où elle est parvenue dans la sphère de son destinataire (cf. ATF 146 V 169 consid. 4.3.3.2, 135 III 441 consid. 3.3, 128 III 129 consid. 2a ; arrêt du TF 4A_395/2018 du 10 décembre 2019 consid. 4.1 ; Wyler/Briguet, op. cit., p. 12). Il existe cependant des situations où une révocation est néanmoins possible. Ainsi, la partie qui a résilié le contrat peut revenir sur sa déclaration si le cocontractant est d'accord avec cette révocation ou s'il a contesté la validité de la résiliation et, ce faisant, manifesté sa volonté de maintenir le contrat (cf. ATF 132 II 161 consid. 3.2.2, 128 III 70 consid. 2 ; arrêts du TF 4A_395/2018 du 10 décembre 2019 consid. 4.1, 4C.222/2005 du 27 octobre 2005 consid. 3.3).</w:t>
      </w:r>
    </w:p>
    <w:p>
      <w:r>
        <w:rPr>
          <w:b/>
        </w:rPr>
        <w:t>E. 6</w:t>
      </w:r>
    </w:p>
    <w:p>
      <w:r>
        <w:t>En l'espèce, le contrat de travail a été résilié unilatéralement par le recourant dans son courrier du 11 avril 2021.</w:t>
      </w:r>
    </w:p>
    <w:p>
      <w:r>
        <w:rPr>
          <w:b/>
        </w:rPr>
        <w:t>E. 6.1</w:t>
      </w:r>
    </w:p>
    <w:p>
      <w:r>
        <w:t>Ce faisant, ce dernier a exercé un droit formateur résolutoire. La résiliation unilatérale a déployé ses effets juridiques et est devenue irrévocable dès sa réception, le 13 avril 2021, par ses supérieurs hiérarchiques. En effet, elle est parvenue ce même jour dans la sphère personnelle de l'autorité inférieure, la manifestation de volonté ayant de la sorte été valablement communiquée à cette dernière, selon le principe de réception (cf. en ce sens arrêt du TAF A-5077/2008 du 10 mai 2010 consid. 2.1.1 ; cf. ég. de manière plus générale Tercier/Pichonnaz, Le droit des obligations, 6e éd. 2019, n. 208). Le recourant ne pouvait donc pas revenir seul sur sa démission par courrier du 15 avril 2021. Il invoque toutefois d'autres griefs relatif à la validité de sa manifestation de volonté qu'il convient de traiter maintenant.</w:t>
      </w:r>
    </w:p>
    <w:p>
      <w:r>
        <w:rPr>
          <w:b/>
        </w:rPr>
        <w:t>E. 6.2</w:t>
      </w:r>
    </w:p>
    <w:p>
      <w:r>
        <w:t>Le recourant fait en effet valoir que son courrier ne pouvait pas de bonne foi être interprété comme une réelle intention de résilier les rapports de travail, ce qui serait corroboré par l'attitude de ses supérieurs directs. Il invoque à cet égard que ces derniers l'ont, d'une part, conseillé de revenir sur sa démission et lui ont, d'autre part, souhaité un bon retour au sein du service à la fin de son congé maladie le 17 mai 2021. En toute hypothèse, l'autorité inférieure aurait manifesté par actes concluants sa volonté de maintenir les rapports de travail. Il fait encore valoir qu'il était en burn-out et que son état de santé l'a conduit à envoyer un courrier de démission alors que tel n'était pas son intention. Le fait qu'il se soit trompé dans l'indication du délai légal de congé vient appuyer le fait que sa démission ne découle pas d'une décision consciente et réfléchie.</w:t>
      </w:r>
    </w:p>
    <w:p>
      <w:r>
        <w:rPr>
          <w:b/>
        </w:rPr>
        <w:t>E. 6.3</w:t>
      </w:r>
    </w:p>
    <w:p>
      <w:r>
        <w:t>L'autorité inférieure pour sa part considère que, puisqu'elle avait déjà reçu la démission du recourant, ce dernier ne pouvait plus valablement se rétracter. Dans son courrier, le recourant a exprimé de manière claire et compréhensible son intention de démissionner, de sorte qu'elle ne pouvait l'appréhender que comme exprimant sa volonté réelle. Elle conteste également toute incapacité de discernement du recourant à ce moment-là.</w:t>
      </w:r>
    </w:p>
    <w:p>
      <w:r>
        <w:rPr>
          <w:b/>
        </w:rPr>
        <w:t>E. 6.4</w:t>
      </w:r>
    </w:p>
    <w:p>
      <w:r>
        <w:t>Il convient de se référer aux dispositions légales suivantes.</w:t>
      </w:r>
    </w:p>
    <w:p>
      <w:r>
        <w:rPr>
          <w:b/>
        </w:rPr>
        <w:t>E. 6.4.1</w:t>
      </w:r>
    </w:p>
    <w:p>
      <w:r>
        <w:t>Aux termes de l'art. 16 du Code civil suisse du 10 décembre 1907 (CC, RS 210), toute personne qui n'est pas privée de la faculté d'agir raisonnablement en raison de son jeune âge, de déficience mentale, de troubles psychiques, d'ivresse ou d'autres causes semblables, est capable d'agir au sens du Code civil. Cette disposition comporte donc deux éléments, un élément intellectuel, la capacité d'apprécier le sens, l'opportunité et les effets d'un acte déterminé, et un élément volontaire ou caractériel, la faculté d'agir en fonction de cette compréhension raisonnable, selon sa libre volonté (cf. ATF 144 III 264 consid. 6.1.1, 134 II 235 consid. 4.3.2 ; arrêt du TF 5A_926/2021 du 19 mai 2022 consid. 3.1.1). La capacité de discernement est relative, en ce sens qu'elle ne s'apprécie pas de façon abstraite, mais concrètement, par rapport à un acte déterminé, en fonction de sa nature et de son importance, les facultés requises devant exister au moment de l'acte (cf. ATF 144 III 264 consid. 6.1.1, 134 II 235 consid. 4.3.2 ; arrêt du TAF A-1447/2019 précité consid. 3.3.2).</w:t>
      </w:r>
    </w:p>
    <w:p>
      <w:r>
        <w:rPr>
          <w:b/>
        </w:rPr>
        <w:t>E. 6.4.2</w:t>
      </w:r>
    </w:p>
    <w:p>
      <w:r>
        <w:t>La preuve de la capacité de discernement pouvant se révéler difficile à apporter, la pratique considère que celle-ci doit en principe être présumée, sur la base de l'expérience générale de la vie (cf. ATF 144 III 264 consid. 6.1.2, 134 II 235 consid. 4.3.3). Par conséquent, il appartient à celui qui prétend qu'elle fait défaut de le prouver (cf. art. 8 CC). Cette présomption n'existe toutefois que s'il n'y a pas de raison générale de mettre en doute la capacité de discernement de la personne concernée, ce qui est le cas des adultes qui ne sont pas atteints de déficience mentale, troubles psychologiques ou de faiblesse d'esprit (cf. ATF 124 III 5 consid. 1b ; arrêts du TF 5A_926/2021 précité consid. 3.1.1.1, 5A_465/2019 du 4 octobre 2019 consid. 4.2). Pour ceux qui en sont atteints, la présomption est inversée, de sorte que l'incapacité de discernement est présumée. La contre preuve, selon laquelle un individu présentant un état mental constitutif d'une incapacité de discernement aurait agi dans un intervalle de lucidité, incombe alors à celui qui prétend à l'existence de cette capacité (cf. ATF 144 III 264 consid. 6.1.3, 124 III 5 consid. 1a ; arrêt du TF 5A_926/2021 précité consid. 3.1.1.1 ; Meier/de Luze, Droit des personnes, 2014, n° 103 s. p. 61 s.).</w:t>
      </w:r>
    </w:p>
    <w:p>
      <w:r>
        <w:rPr>
          <w:b/>
        </w:rPr>
        <w:t>E. 6.4.3</w:t>
      </w:r>
    </w:p>
    <w:p>
      <w:r>
        <w:t>Au sens de l'art. 18 CC, les actes de celui qui est incapable de discernement n'ont pas d'effet juridique ; demeurent réservées les exceptions prévues par la loi.</w:t>
      </w:r>
    </w:p>
    <w:p>
      <w:r>
        <w:rPr>
          <w:b/>
        </w:rPr>
        <w:t>E. 6.5</w:t>
      </w:r>
    </w:p>
    <w:p>
      <w:r>
        <w:t>La résiliation du contrat de travail étant une manifestation de volonté unilatérale par laquelle une partie déclare mettre fin de son propre chef aux rapports de travail, elle est sujette à interprétation. Selon les principes du droit privé, applicables à tout le moins par analogie aux résiliations des rapports de service (cf. à cet égard supra consid. 5.1 et not. arrêt du TF 8C_282/2021 du 11 janvier 2022 consid. 4), il faut tout d'abord rechercher quelle était la volonté réelle du déclarant, et si elle a été bien comprise par le destinataire (interprétation subjective). Si une telle volonté ne peut être établie ou n'a pas été appréhendée comme telle par le cocontractant, le juge déterminera alors quel sens celui-ci pouvait lui donner selon le principe de la confiance (interprétation objective; cf. Guillaume Vionnet, L'exercice des droits formateurs, 2008, p. 182 s.; ATF 144 III 93 consid. 5.2.3 ; arrêts du TF A-479/2019 précité consid. 4.1, 4A_587/2020 consid. 4.1.2).</w:t>
      </w:r>
    </w:p>
    <w:p>
      <w:r>
        <w:rPr>
          <w:b/>
        </w:rPr>
        <w:t>E. 6.6</w:t>
      </w:r>
    </w:p>
    <w:p>
      <w:r>
        <w:t>Sur ce vu, il convient d'abord de considérer ce qui suit.</w:t>
      </w:r>
    </w:p>
    <w:p>
      <w:r>
        <w:rPr>
          <w:b/>
        </w:rPr>
        <w:t>E. 6.6.1</w:t>
      </w:r>
    </w:p>
    <w:p>
      <w:r>
        <w:t>En premier lieu, le Tribunal retient que le recourant n'était pas incapable de discernement au moment de la rédaction de son courrier du 11 avril 2021. Vu la répartition du fardeau de la preuve, il échoue à prouver son incapacité et sa capacité est dès lors présumée. En effet, le certificat de travail qu'il produit à l'appui de son recours atteste d'une incapacité à compter du (...) au (...), pour « maladie ». Le recourant n'invoque en outre pas une déficience mentale, des troubles psychologiques ou une faiblesse d'esprit permanente. De plus, sa lettre de démission est claire, bien structurée et a été transmise en recommandé. Ceci souligne une volonté manifeste d'agir de la sorte qui n'est guère compatible avec une incapacité de discernement. Il en résulte que l'absence de capacité de discernement que mentionne le recourant dans son recours n'est pas démontrée au jour de l'envoi de son courrier de démission, le 11 avril 2021.</w:t>
      </w:r>
    </w:p>
    <w:p>
      <w:r>
        <w:rPr>
          <w:b/>
        </w:rPr>
        <w:t>E. 6.6.2</w:t>
      </w:r>
    </w:p>
    <w:p>
      <w:r>
        <w:t>En deuxième lieu, il convient de déterminer comment devait être interprétée la manifestation de volonté du recourant dans sa lettre du 11 avril 2021. A cet égard, ce dernier fait valoir que son courrier visait à faire réagir sa hiérarchie sur sa situation professionnelle difficile et qu'il n'a jamais réellement entendu résilier les rapports de travail. Or, force est de constater que l'autorité inférieure n'a pas compris sa manifestation de volonté comme telle. En effet, ses supérieurs directs (son supérieur technique et le Chef de section) ont pris immédiatement contact avec lui afin de l'encourager à déposer une lettre indiquant qu'il revenait sur sa démission. De même, le Vice-Directeur et Chef du domaine de Direction « soutien » a finalement considéré qu'il acceptait sa démission. Ce faisant, ils ont démontré qu'ils avaient considéré le courrier du 11 avril 2021 comme démontrant la volonté du recourant de quitter ses fonctions. Vu ce désaccord manifeste, il y a lieu d'analyser comment pouvait et devait être comprise la manifestation de volonté du recourant. A cet égard, le courrier du 11 avril 2021 s'intitule « résiliation de mes rapports de travail ». Le recourant exprime clairement et sans ambiguïté son intention de résilier les rapports de travail et de réorienter son avenir professionnel. Les termes utilisés sont univoques. Même s'il n'a pas réussi à établir son incapacité de discernement, le recourant mentionne le fait qu'il aurait été en burn-out à cette époque. Il reste dès lors envisageable que face à une situation qu'il a jugée sans issue sur son lieu de travail, il n'ait pas envisagé d'autres solutions possibles que la résiliation des rapports de travail. Il est également tout à fait possible de considérer que, dans la situation dans laquelle il se trouvait, il ait pu penser que son courrier ne vaudrait pas plus qu'un signal d'alarme envoyé à sa direction, afin qu'elle prenne les mesures nécessaires pour mettre fin à cette situation difficile. Toutefois, vu la teneur sans équivoque du courrier, mais également le comportement du recourant, qui a rédigé la missive, l'a postée, a attendu une réaction de son employeur, l'autorité inférieure était fondée à considérer qu'il s'agissait de l'expression de la volonté du recourant de mettre un terme à leurs relations contractuelles.</w:t>
      </w:r>
    </w:p>
    <w:p>
      <w:r>
        <w:rPr>
          <w:b/>
        </w:rPr>
        <w:t>E. 6.6.3</w:t>
      </w:r>
    </w:p>
    <w:p>
      <w:r>
        <w:t>Vu les considérants qui précèdent, doit être analysée, en troisième et dernier lieu, si les parties se sont entendues pour admettre la révocation de la démission du recourant.</w:t>
      </w:r>
    </w:p>
    <w:p>
      <w:r>
        <w:rPr>
          <w:b/>
        </w:rPr>
        <w:t>E. 6.6.3.1</w:t>
      </w:r>
    </w:p>
    <w:p>
      <w:r>
        <w:t>A ce sujet, les supérieurs hiérarchiques ont tenté de convaincre le recourant de revenir sur sa décision et, après discussion, l'ont encouragé à écrire un courrier de « retour sur sa décision de quitter l'[OFDF] ». Ils l'ont tout de suite appelé à la réception de sa lettre du 11 avril 2021 et ont discuté avec lui. Certes, ils ont manifesté leur intention de continuer à collaborer avec le recourant. Cela étant, cela ne suffit pas en soi à démontrer un accord sur la poursuite des rapports de travail. Comme l'explique l'autorité inférieure dans sa duplique, ce ne sont pas les supérieurs directs du recourant qui étaient compétents pour décider de la question, mais les personnes au niveau du comité de direction (cf. annexe 3 GO-EZV, en lien notamment avec les art. 3 et 5 GO-EZV ; cf. ég. art. 2, al. 4 et 5 OPers). En effet, le recourant n'avait pas de tâches de conduite et faisait ainsi partie, selon les explications de l'autorité inférieure, des employés du « groupe L5 ou L6 ». Or, l'annexe 3 GO-EZV prévoit que la compétence décisionnelle pour l'engagement des niveaux L4 et suivants relève de la compétence des chefs de domaine de direction. La compétence décisionnelle en matière d'engagement pour le domaine de Direction Soutien appartenait dès lors à C._______, chef de ce secteur. Toujours selon l'annexe 3 GO-EZV, en lien notamment avec l'art. 5 du règlement GO-EZV, les membres de la direction sont également seuls compétents pour décider de l'embauche ou du licenciement des collaborateurs, auxquels la révocation de la démission était assimilable au cas d'espèce. Ainsi, comme le relève l'autorité inférieure dans sa détermination du 20 octobre 2022, les souhaits de Monsieur B._______, Chef du (...) et supérieur hiérarchique direct du recourant, de Monsieur D._______, supérieur technique du recourant ou encore de Madame E._______, ancienne Cheffe du centre RH III, n'émanaient pas de personnes ayant la compétence de décider en matière d'engagement, de nomination ou de licenciement.</w:t>
      </w:r>
    </w:p>
    <w:p>
      <w:r>
        <w:rPr>
          <w:b/>
        </w:rPr>
        <w:t>E. 6.6.3.2</w:t>
      </w:r>
    </w:p>
    <w:p>
      <w:r>
        <w:t>Au demeurant, le fait que les supérieurs directs du recourant aient invité ce dernier à écrire une lettre de révocation de sa démission constituait également un indice selon lequel ils n'étaient eux-mêmes seuls pas compétents pour se prononcer sur la poursuite des rapports de travail. De même, le recourant pouvait s'attendre à recevoir une confirmation écrite de l'acceptation de sa démission, vu les exigences relatives à la formation et à la modification du contrat dans la LPers (cf. art. 8 et 13 LPers). Cela étant, la révocation de la démission du recourant n'a finalement pas été acceptée par l'autorité inférieure, ce qu'elle lui a clairement signifié. Une acceptation de la révocation par actes concluants n'entre donc pas en ligne de compte.</w:t>
      </w:r>
    </w:p>
    <w:p>
      <w:r>
        <w:rPr>
          <w:b/>
        </w:rPr>
        <w:t>E. 6.7</w:t>
      </w:r>
    </w:p>
    <w:p>
      <w:r>
        <w:t>Cela amène toutefois une nouvelle problématique, à savoir si, vu le comportement adopté par les supérieurs directs du recourant, l'autorité inférieure aurait agi de manière contraire au principe de la bonne foi car elle lui aurait donné une expectative.</w:t>
      </w:r>
    </w:p>
    <w:p>
      <w:r>
        <w:rPr>
          <w:b/>
        </w:rPr>
        <w:t>E. 6.7.1</w:t>
      </w:r>
    </w:p>
    <w:p>
      <w:r>
        <w:t>En préalable, savoir si l'autorité inférieure avait ou non intérêt à accepter la révocation de la démission n'est pas déterminant pour l'issue du litige. A cet égard, il est vrai que les supérieurs hiérarchiques directs du recourant ont manifesté leur souhait de le voir revenir au sein de l'équipe, et qu'il semblerait même que son départ aurait pu mettre son équipe en difficulté (cf. not. courriel du 1er juin 2021 du supérieur hiérarchique du recourant à ce dernier). Toutefois, à nouveau, l'autorité inférieure a finalement décidé de ne pas accepter la révocation de la démission. Ainsi, peu importe si elle n'avait pas intérêt à agir de la sorte, puisqu'elle a manifesté sa volonté de ne pas poursuivre les relations contractuelles. La question finale demeure donc de savoir si les supérieurs directs ont, par leur comportement, entraîné une violation du principe de la bonne foi par l'autorité inférieure.</w:t>
      </w:r>
    </w:p>
    <w:p>
      <w:r>
        <w:rPr>
          <w:b/>
        </w:rPr>
        <w:t>E. 6.7.2</w:t>
      </w:r>
    </w:p>
    <w:p>
      <w:r>
        <w:t>Le droit constitutionnel du citoyen à être traité par les organes de l'Etat conformément aux règles de la bonne foi est expressément consacré à l'art. 9 Cst.</w:t>
      </w:r>
    </w:p>
    <w:p>
      <w:r>
        <w:rPr>
          <w:b/>
        </w:rPr>
        <w:t>E. 6.7.2.1</w:t>
      </w:r>
    </w:p>
    <w:p>
      <w:r>
        <w:t>Le principe de la bonne foi protège la confiance légitime que le citoyen place dans les assurances reçues de l'autorité ou dans tout autre comportement adopté (promesses, renseignements, communications, recommandations ou autres déclarations)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141 V 530 consid. 6.2 ; arrêt du TF 1C_277/2020 du 27 août 2020 consid. 2.2 ; arrêts du TAF A-1666/2019 du 8 octobre 2020 consid. 4.2.1, A-262/2018 du 29 mars 2019 consid. 8.1.1). Il convient encore de procéder à une pesée des intérêts en présence - bien que son examen par le Tribunal fédéral paraisse trop ponctuel pour considérer qu'il s'agit d'une condition (cf. ATF 137 I 69 consid. 2.6) - et de déterminer si, exceptionnellement, l'intérêt à une fidèle application du droit en vigueur ne prime pas l'intérêt de l'administré à voir sa confiance protégée (cf. arrêt du TAF A-262/2018 du 29 mars 2019 consid. 8.1.1). Le caractère exigeant de ces réquisits s'inscrit dans le respect du principe d'égalité de traitement entre tous les justiciables (cf. art. 8 al. 1 Cst.).</w:t>
      </w:r>
    </w:p>
    <w:p>
      <w:r>
        <w:rPr>
          <w:b/>
        </w:rPr>
        <w:t>E. 6.7.2.2</w:t>
      </w:r>
    </w:p>
    <w:p>
      <w:r>
        <w:t>La protection de la confiance a pour conséquence d'empêcher qu'un administré ne subisse un préjudice du fait du comportement de l'autorité.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et A-6840/2015 du 21 décembre 2016 consid. 5.6.4 ; cf. également cf. Moor/Flückiger/Martenet,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2e éd. 2018, n o 569).</w:t>
      </w:r>
    </w:p>
    <w:p>
      <w:r>
        <w:rPr>
          <w:b/>
        </w:rPr>
        <w:t>E. 6.7.2.3</w:t>
      </w:r>
    </w:p>
    <w:p>
      <w:r>
        <w:t>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136 I 254 consid. 5.2 ; arrêt du TF 2C_879/2008 du 20 avril 2009 consid. 7.2 ; Dubey/Zufferey, Droit administratif général, 2014, nos 729 à 731). Au surplus,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 Moor/Flückiger/Martenet, op. cit., ch. 6.4.2.3).</w:t>
      </w:r>
    </w:p>
    <w:p>
      <w:r>
        <w:rPr>
          <w:b/>
        </w:rPr>
        <w:t>E. 6.7.3.1</w:t>
      </w:r>
    </w:p>
    <w:p>
      <w:r>
        <w:t>Le recourant fait valoir que ses supérieurs directs l'ont encouragé à revenir sur sa démission. Ensuite, le 17 mai 2021, de retour à son poste de travail suite à son incapacité, son supérieur direct lui a souhaité un bon retour au sein de l'unité. Le soir même, il a été informé de la décision de ne pas accepter sa lettre de retrait de démission. Il n'aurait reçu que le 28 mai 2021 un courrier formel l'informant que le chef de la Division infrastructure acceptait sa demande de résilier les rapports de travail avec un délai au 31 août 2021. Ainsi, l'autorité inférieure aurait violé le principe de la bonne foi, en adoptant un comportement contradictoire. Pour sa part, l'autorité inférieure a considéré avoir simplement reçu la demande de résiliation et ensuite ne pas avoir accepté son retrait.</w:t>
      </w:r>
    </w:p>
    <w:p>
      <w:r>
        <w:rPr>
          <w:b/>
        </w:rPr>
        <w:t>E. 6.7.3.2</w:t>
      </w:r>
    </w:p>
    <w:p>
      <w:r>
        <w:t>En l'espèce, les supérieurs directs du recourant lui ont dit qu'il pouvait revenir sur sa démission. Si les termes exacts usités et les assurances données ne sont pas connus, il est en toute hypothèse probable qu'ils lui aient ainsi donné de fausses expectatives quant à la poursuite de la relation contractuelle. Ce faisant, les supérieurs directs, agissant pour le compte de l'autorité inférieure, sont bien intervenus dans une situation concrète à l'égard d'une personne déterminée. Toutefois, comme relevé ci-dessus, ils n'ont pas agi dans les limites de leurs compétences (cf. supra consid. 6.6.3.1). En effet, ils n'étaient pas compétents pour se prononcer sur la question de l'acceptation du retrait de la démission du recourant. Indépendamment de savoir si, vu leurs comportement et affirmations, le recourant était ou non fondé à les considérer compétents, ce dernier ne s'est pas fondé sur les déclarations de ses supérieurs directs pour prendre des dispositions qu'il ne saurait modifier sans subir de préjudice. En effet, s'il a certes écrit un courrier dans lequel il indiquait vouloir revenir sur sa démission, il n'est pas établi - ou du moins, le recourant ne l'allègue ni ne le prouve avec le degré de preuve suffisant - qu'il aurait subi un préjudice du fait que sa démission, dont il était l'auteur, soit acceptée et que la promesse de poursuivre son engagement ne soit pas tenue. Le grief invoqué par le recourant en lien avec la violation du principe de la bonne foi est ainsi infondé.</w:t>
      </w:r>
    </w:p>
    <w:p>
      <w:r>
        <w:rPr>
          <w:b/>
        </w:rPr>
        <w:t>E. 6.8</w:t>
      </w:r>
    </w:p>
    <w:p>
      <w:r>
        <w:t>Cela scelle le sort du recours, qui sera rejeté. La décision attaquée, rendue à dire de droit, doit être confirmée.</w:t>
      </w:r>
    </w:p>
    <w:p>
      <w:r>
        <w:rPr>
          <w:b/>
        </w:rPr>
        <w:t>E. 7</w:t>
      </w:r>
    </w:p>
    <w:p>
      <w:r>
        <w:t>Demeure la question des frais et dépens.</w:t>
      </w:r>
    </w:p>
    <w:p>
      <w:r>
        <w:rPr>
          <w:b/>
        </w:rPr>
        <w:t>E. 7.1</w:t>
      </w:r>
    </w:p>
    <w:p>
      <w:r>
        <w:t>Aux termes de l'art. 34 al. 2 LPers, la procédure de recours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