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A-4087/2022 vom 2. Dezember 2021</w:t>
      </w:r>
    </w:p>
    <w:p>
      <w:r>
        <w:t>Bundesverwaltungsgericht, 2021-12-02, DE</w:t>
      </w:r>
    </w:p>
    <w:p>
      <w:r>
        <w:rPr>
          <w:b/>
        </w:rPr>
        <w:t xml:space="preserve">Quelle: </w:t>
      </w:r>
      <w:r>
        <w:t>https://mcp.opencaselaw.ch/entscheid/bvger_A-4087_2022</w:t>
      </w:r>
    </w:p>
    <w:p>
      <w:r>
        <w:t>FR: TAF A-4087/2022 du 2 décembre 2021</w:t>
      </w:r>
    </w:p>
    <w:p>
      <w:r>
        <w:t>IT: TAF A-4087/2022 del 2 dicembre 2021</w:t>
      </w:r>
    </w:p>
    <w:p>
      <w:pPr>
        <w:pStyle w:val="Heading2"/>
      </w:pPr>
      <w:r>
        <w:t>Regeste</w:t>
      </w:r>
    </w:p>
    <w:p>
      <w:r>
        <w:t>Mehrwertsteuer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Quartal 2021 kein Umsatz erzielt worden sei; dass das betreffend die Mehrwertsteuerforderungen der Vorjahre 2013 bis 2018 geltend gemach- te Guthaben von Fr. 555'165.50 nicht anerkannt worden sei; dass der Gesetzgeber mit Art. 86 Abs. 2 des Bundesgesetzes vom 12. Juni 2009 über die Mehrwertsteuer (MWSTG, SR 641.20) die zeitnahe Vollstre- ckung von quartalsweise festgesetzten Mehrwertsteuerbeträgen habe ga- rantieren wollen; dass die Beschwerdeführerin durch das systematische Hinauszögern der Vollstreckung den Sinn und Zweck dieser Bestimmung vereitle und sich nach dem Erwähnten der Antrag auf aufschiebende Wir- kung als unbegründet erweise, dass gemäss Art. 31 des Bundesgesetzes vom 17. Juni 2005 über das Bundesverwaltungsgericht (VGG, SR 173.32) das Bundesverwaltungsge- richt Beschwerden gegen Verfügungen nach Art. 5 des Bundesgesetzes vom 20. Dezember 1968 über das Verwaltungsverfahren (VwVG, SR 172.021) beurteilt, sofern keine Ausnahme nach Art. 32 VGG vorliegt; dass als Vorinstanzen die in Art. 33 VGG genannten Behörden gelten, dass wenn die ESTV den in Betreibung gesetzten provisorisch geschul- deten Steuerbetrag nach pflichtgemässem Ermessen bestimmt hat, ge- mäss Art. 86 Abs. 5 MWSTG (i.V.m. Art. 33 Bst. i VGG) gegen den Ein- spracheentscheid der ESTV Beschwerde beim Bundesverwaltungsgericht erhoben werden kann; dass eine Ausnahme nach Art. 32 VGG nicht vor- liegt, dass das Bundesverwaltungsgericht daher für die Beurteilung der erho- benen Beschwerde und folglich auch zum Entscheid über den Verfahrensantrag betreffend die Erteilung der aufschiebenden Wirkung</w:t>
      </w:r>
    </w:p>
    <w:p>
      <w:r>
        <w:t>A-4087/2022 Seite 4 zuständig ist; dass dieser Entscheid in die Kompetenz der Instruktions- richterin fällt (Art. 39 Abs. 1 VGG), dass sich das Verfahren nach dem VwVG richtet, soweit das VGG nichts anderes bestimmt (Art. 37 VGG), dass gemäss Art. 86 Abs. 5 MWSTG einer Beschwerde gegen einen Ein- spracheentscheid der ESTV keine aufschiebende Wirkung zukommt, die- se aber im Beschwerdefall auf begründetes Ersuchen hin vom Bundes- verwaltungsgericht erteilt werden kann (vgl. auch ANDRÉ MOSER ET AL., Prozessieren vor dem Bundesverwaltungsgericht,</w:t>
      </w:r>
    </w:p>
    <w:p>
      <w:r>
        <w:rPr>
          <w:b/>
        </w:rPr>
        <w:t>E. 2</w:t>
      </w:r>
    </w:p>
    <w:p>
      <w:r>
        <w:t>dass der Vorinstanz Gelegenheit zur Einreichung einer Vernehmlassung in der Hauptsache zu geben ist,</w:t>
      </w:r>
    </w:p>
    <w:p>
      <w:r>
        <w:rPr>
          <w:b/>
        </w:rPr>
        <w:t>E. 3</w:t>
      </w:r>
    </w:p>
    <w:p>
      <w:r>
        <w:t>dass über die Kosten dieser Zwischenverfügung und einer allfälligen Par- teientschädigung im Rahmen des Urteils in der Hauptsache zu befinden ist.</w:t>
      </w:r>
    </w:p>
    <w:p>
      <w:r>
        <w:t>(Das Dispositiv befindet sich auf der nächsten Seite.)</w:t>
      </w:r>
    </w:p>
    <w:p>
      <w:r>
        <w:t>A-4087/2022 Seite 7</w:t>
      </w:r>
    </w:p>
    <w:p>
      <w:r>
        <w:rPr>
          <w:b/>
        </w:rPr>
        <w:t>E. 3.26</w:t>
      </w:r>
    </w:p>
    <w:p>
      <w:r>
        <w:t>f.; siehe auch: KIENER, a.a.O., Art. 55 N. 17; SEILER, a.a.O., Art. 55 N. 96), dass im vorliegenden Fall der provisorisch geschuldete Mehrwertsteuer- betrag in Höhe von Fr. 84'500.-- für das 1. Quartal 2021 im Streit liegt; dass die Beschwerdeführerin betreffend die (definitiven) Mehrwertsteuer- forderungen der Steuerperioden 2013 bis 2018 bereits eine Beschwerde vor Bundesverwaltungsgericht eingereicht hat (Verfahren A-2315/2021), in welcher sie die Höhe der ermessensweise festgesetzten Steuerforde- rung bestreitet; dass vorliegend der provisorisch geschuldete Mehrwert- steuerbetrag für das 1. Quartal 2021 gestützt auf die Zahlen im Verfahren</w:t>
      </w:r>
    </w:p>
    <w:p>
      <w:r>
        <w:t>A-4087/2022 Seite 6 A-2315/2021 festgesetzt worden ist; dass die Beschwerdeführerin zur Begründung ihres Antrages auf aufschiebende Wirkung weder die Mehr- wertsteuerabrechnung eingereicht hat, noch aufzuzeigen vermag, dass die Betreibung einen nicht wieder gutzumachenden Nachteil zu Folge hat, zumal die ESTV der Beschwerdeführerin den Betrag in Höhe von Fr. 84'500.-- zurückzuerstatten hätte, wenn diese aufzuzeigen vermögen würde, dass die Rechtsöffnung zu Unrecht erteilt und der provisorisch festgesetzte Steuerbetrag nicht nach sachlichen Kriterien festgesetzt worden wäre; dass das Rechtsmittelverfahren hinsichtlich des proviso- risch festgesetzten Steuerbetrages in keiner Weise die Festsetzung der definitiven Steuerforderung präjudiziert; dass die bereits länger andau- ernde Krankheit des Verwaltungsrates der Beschwerdeführerin grund- sätzlich nicht ausreicht, die – von Gesetzes wegen entzogene – auf- schiebende Wirkung zu begründen, dass somit vorliegend – zumindest «prima facie» – keine massgebenden Interessen bzw. wichtigen Gründe der Beschwerdeführerin ersichtlich sind, welche das Interesse der Vorinstanz an der sofortigen Vollstreck- barkeit überwiegen würden, dass daher keine erheblichen bzw. wichtigen Gründe für die Erteilung der aufschiebenden Wirkung der Beschwerde gegeben sind und das ent- sprechende Gesuch der Beschwerdeführerin abzuweisen ist, 2. dass der Vorinstanz Gelegenheit zur Einreichung einer Vernehmlassung in der Hauptsache zu geben ist,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