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A-4080/2010 vom 9. September 2011</w:t>
      </w:r>
    </w:p>
    <w:p>
      <w:r>
        <w:t>Bundesverwaltungsgericht, 2011-09-09, DE</w:t>
      </w:r>
    </w:p>
    <w:p>
      <w:r>
        <w:rPr>
          <w:b/>
        </w:rPr>
        <w:t xml:space="preserve">Quelle: </w:t>
      </w:r>
      <w:r>
        <w:t>https://mcp.opencaselaw.ch/entscheid/bvger_A-4080_2010</w:t>
      </w:r>
    </w:p>
    <w:p>
      <w:r>
        <w:t>FR: TAF A-4080/2010 du 9 septembre 2011</w:t>
      </w:r>
    </w:p>
    <w:p>
      <w:r>
        <w:t>IT: TAF A-4080/2010 del 9 settembre 2011</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Am 1. Januar 2010 ist ein neues Mehrwertsteuergesetz in Kraft getre­ten (Bundesgesetz vom 12. Juni 2009 über die Mehrwertsteuer [MWSTG, SR 641.20]).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 er verwirklichte sich in den Jahren 2005 bzw. 2006 - ist folglich noch nach dem Bun­des­ge­setz vom 2. Sep­tem­ber 1999 über die Mehr­wert­steu­er (aMWSTG, AS 2000 1300) zu beurteilen.</w:t>
      </w:r>
    </w:p>
    <w:p>
      <w:r>
        <w:rPr>
          <w:b/>
        </w:rPr>
        <w:t>E. 1.3</w:t>
      </w:r>
    </w:p>
    <w:p>
      <w:r>
        <w:t>Demgegenüber ist das neue mehrwertsteuerliche Verfahrensrecht im Sinne von Art. 113 Abs. 3 MWSTG auf sämt­liche im Zeit­punkt des In­kraft­tre­tens hän­gige und damit grundsätzlich auch auf das vorliegende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(anstelle zahlreicher: Urteil des Bun­des­ver­wal­tungs­ge­richts A 1113/2009 vom 23. Februar 2010 E. 1.3).</w:t>
      </w:r>
    </w:p>
    <w:p>
      <w:r>
        <w:rPr>
          <w:b/>
        </w:rPr>
        <w:t>E. 1.4</w:t>
      </w:r>
    </w:p>
    <w:p>
      <w:r>
        <w:t>Kein Verfahrensrecht in diesem engen Sinne stellen die Bestimmungen bezüglich des Selbstveranlagungsprinzips dar; diesbezüglich ist noch altes Recht anwendbar (Urteil des Bundesverwaltungsgerichts A 4011/2010 vom 18. Januar 2011 E. 1.1; zum Selbstveranlagungsprinzip vgl. Art. 46 f. aMWSTG; Alois Camenzind/Niklaus Honauer/Klaus A. Vallender, Handbuch zum Mehrwertsteuergesetz [MWSTG], Bern 2003, 2. Aufl., N 78). Das Selbstveranlagungsprinzip bedeutet u.a., dass der Leistungs­erbringer bereits für die Feststellung seiner Mehrwertsteuerpflicht selbst verantwortlich ist und sich gegebenenfalls unaufgefordert anzumel­den hat (Art. 56 Abs. 1 aMWSTG; Urteil des Bundesgerichts 2A.109/2005 vom 10. März 2006 E. 2.1; Urteile des Bundesverwaltungsgerichts A 2149/2008 und A 2170/2008 vom 17. Mai 2010 E. 3.1).</w:t>
      </w:r>
    </w:p>
    <w:p>
      <w:r>
        <w:rPr>
          <w:b/>
        </w:rPr>
        <w:t>E. 1.5</w:t>
      </w:r>
    </w:p>
    <w:p>
      <w:r>
        <w:t>Kein Verfahrensrecht im engen Sinne stellen auch die Bestimmungen bezüglich der Er­messenseinschätzung dar, so dass diesbezüglich ebenfalls noch altes Recht anwendbar ist (Urteil des Bundesverwaltungsgerichts A 7712/2009 vom 21. Februar 2011 E. 3.2). Betreffend die Vor­aus­set­zun­gen und Folgen der Er­messens­ein­schät­zun­g ist damit Art. 60 aMWSTG zu beachten und es gilt Fol­gen­des: Liegen kei­ne oder nur un­vollständige Auf­zeich­nun­gen vor, oder stim­men die aus­ge­wiesenen Er­gebnisse mit dem wirk­lichen Sach­verhalt offen­sichtlich nicht über­ein, nimmt die ESTV ei­ne Schät­zung nach pflicht­ge­mäs­sem Er­mes­sen vor (anstelle zahlreicher: Ur­teil des Bun­des­ver­wal­tungs­ge­richts A 2682/2007 vom 7. Ok­to­ber 2010 E. 2.4.1). Ob die Vor­aus­set­zun­gen für die Vor­nah­me einer Er­mes­sens­ein­schät­zung ge­ge­ben wa­ren, überprüft das Bundes­ver­wal­tungs­ge­richt un­ein­ge­schränkt. Es auf­er­legt sich allerdings bei der Über­prü­fung von zu­lässig­er­weise er­folg­ten Ermes­sens­ein­schät­zungen ei­ne ge­wis­se Zu­rück­haltung (Ur­teil des Bun­des­ver­wal­tungs­ge­richts A 5460/2008 vom 12. Mai 2010 E. 2.5.4 mit Hinweisen).</w:t>
      </w:r>
    </w:p>
    <w:p>
      <w:r>
        <w:rPr>
          <w:b/>
        </w:rPr>
        <w:t>E. 1.6</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 des Bundesgerichts 2C_426/2007 vom 22. November 2007 E. 3.2; Urteil des Bundes­ver­wal­tungsgerichts A 1113/2009 vom 23. Februar 2010 E. 2.3; Camenzind/Ho­nauer/Val­lender, a.a.O., N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 2184/2008 und A 2185/2008 vom 3. Juni 2010 E. 5.1). Die brauchbaren Teile der Buch­haltung und allenfalls vorhandene Belege sind soweit als möglich bei der Schätzung mitzuberücksichtigen. Sie können durchaus als Basiswer­te der Ermessenstaxation heran gezogen werden (anstelle zahlreicher: Urteile des Bundesverwaltungsgerichts A 4360/2008 und A 4415/2008 vom 4. März 2010 E. 2.5.2).</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Der Mehrwert­steu­er unterliegen u.a. im Inland gegen Entgelt erbrachte Dienstleistungen (Art. 5 Bst. b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 Gemäss Art. 25 Abs. 1 Bst. a aMWSTG sind Unternehmen mit einem Jahresumsatz bis zu Fr. 250'000.- von der Steuerpflicht ausgenommen, sofern die nach Abzug der Vorsteuer verbleibende Steuer (sog. Steuerzahllast) regelmässig nicht mehr als Fr. 4'000.- im Jahr betragen würde. Die Steuerpflicht nach Art. 21 Abs. 1 aMWSTG beginnt nach Ablauf des Ka­lenderjahres, in dem der massgebende Umsatz erzielt worden ist (Art. 28 Abs. 1 erster Satz aMWSTG). Wer nach Art. 25 Abs. 1 Bst. a aMWSTG von der Steuerpflicht befreit ist, wird nach Ablauf des Kalenderjah­res steuerpflichtig, in dem sein für die Steuerpflicht massgebender Um­satz Fr. 250'000.- oder die nach Abzug der Vorsteuer verbleibende Steu­er Fr. 4'000.- überschritten hat (Art. 28 Abs. 3 erster Satz aMWSTG).</w:t>
      </w:r>
    </w:p>
    <w:p>
      <w:r>
        <w:rPr>
          <w:b/>
        </w:rPr>
        <w:t>E. 2.2</w:t>
      </w:r>
    </w:p>
    <w:p>
      <w:r>
        <w:t>Damit eine steu­er­bare Leis­tung vorliegt, muss sie im Aus­tausch mit ei­ner Ge­gen­leis­tung (gegen Ent­gelt) erfolgen. Die Ent­gelt­lich­keit stellt, vom Eigenverbrauch abgesehen, ein un­ab­ding­ba­res Tat­be­stands­merk­mal einer mehr­wert­steu­er­li­chen Leis­tung dar. Die An­nah­me ei­nes Leis­tungs­aus­tauschs setzt vo­raus, dass zwi­schen Leis­tung und Ge­gen­leis­tung ei­ne innere wirt­schaft­liche Ver­knüp­fung ge­geben ist (anstelle zahlreicher: Urteil des Bundesverwal­tungs­gerichts A 7712/2009 vom 21. Februar 2011 E. 4.2). Im Rahmen der Beurteilung, ob ein Leistungsaustausch vorliegt, stellt sich zwangsläufig die Vorfrage, wer als Leistungser­brin­ger und wer als Leistungsempfänger zu gelten hat (Urteile des Bundes­ver­wal­tungs­ge­richts A-1390/2006 vom 30. Oktober 2007 E. 2.2 und A 6143/2007 vom 28. Mai 2009 E. 2.2.2.2). Wer nämlich Dienstleis­tun­gen aus­drücklich im Na­men und für Rechnung eines Vertretenen ­tätigt, so dass das Umsatzge­schäft direkt zwischen dem Vertretenen und dem Dritten zu­stande kommt, gilt gemäss Art. 11 Abs. 1 aMWSTG bloss als Vermittler.</w:t>
      </w:r>
    </w:p>
    <w:p>
      <w:r>
        <w:rPr>
          <w:b/>
        </w:rPr>
        <w:t>E. 3.1</w:t>
      </w:r>
    </w:p>
    <w:p>
      <w:r>
        <w:t>Vorliegend strittig und zuerst zu klären ist die Höhe des vom Beschwerdeführer im Jahr 2005 erziel­ten Umsatzes. Gemäss seiner Erfolgsrechnung, deren Richtigkeit die ESTV nicht bestreitet, beliefen sich die Einnahmen aus dem Taxibetrieb im Jahr 2005 auf Fr. 83'416.45. Während die ESTV diesen Betrag als massgebend erachtete, wollte der Beschwerdeführer hiervon Fr. 5'742.40 mit der (sinngemässen) Begründung abziehen, dieser Anteil sei bereits von der B._______ AG, der sog. Taxizentrale, versteuert worden. Aus dem erst im Rahmen des Beschwerdeverfahrens vor dem Bundesverwaltungsgericht nachgereichten Kontoblatt Nr. 6000 (Ein­nahmen Taxibetrieb) des Jahres 2005 geht hervor, dass der Beschwer­deführer tatsächlich Fr. 5'742.40 als Einnahmen aus sog. «Kreditfahrten» verbuchte. Gemäss den Ausführungen der ESTV, welche der Beschwerdeführer weder bestreitet noch widerlegt, handelte es sich bei den «Kreditfahrten» um eine gegen Entgelt erfolgte Leistung des Beschwer­deführers an die Taxizentrale. Es lagen demnach aus mehrwertsteuerlicher Sicht zwei Umsatzgeschäfte vor, nämlich ein erstes zwischen der Taxizentrale und dem End­kunden und ein zweites zwischen dem Beschwerdeführer und der Taxi­zentrale. Dass die Taxizen­tra­le bloss als Vermittlerin gehandelt hätte (oben E. 2.2), wird weder behauptet noch ergibt sich solches aus den Akten. Da als Allphasensteuer konzipiert (oben E. 2.1), ist die Mehrwert­steu­er auf jeder Stufe und damit beim Beschwer­de­führer und bei der Taxizentrale geschuldet. Die ESTV ging zurecht davon aus, dass die mit «Kreditfahrten» für die Taxizentrale erzielten Umsätze zum steuerbaren Umsatz des Beschwerdeführers gehören und erachtete folgerichtig für das Jahr 2005 einen Umsatz von Fr. 83'416.45 als massgebend. Demnach überstieg der Umsatz des Beschwerdeführers im Jahr 2005 die für die Steuerpflicht im Folgejahr massgebende Grenze von Fr. 75'000.-.</w:t>
      </w:r>
    </w:p>
    <w:p>
      <w:r>
        <w:rPr>
          <w:b/>
        </w:rPr>
        <w:t>E. 3.2</w:t>
      </w:r>
    </w:p>
    <w:p>
      <w:r>
        <w:t>Strittig ist sodann, ob im Jahr 2005 auch die Steuerzahllast die mass­ge­bende Grenze (Fr. 4'000.-) überschritt. Zur Klärung dessen muss die Höhe der im Jahr 2005 angefallenen Vorsteuern bekannt sein. Allerdings reichte der Beschwerdeführer für das Jahr 2005 keine Kontenblätter ein, die eine effektive Ermittlung der Vorsteuern zugelassen hätten und dies, obwohl ihn die ESTV mit Schreiben vom 19. Septem­ber 2007 hierzu ausdrücklich aufgefordert hatte. Im Verfahren vor dem Bundesverwaltungsgericht macht der Beschwer­deführer geltend, er habe die Unterlagen deshalb nicht eingereicht, weil die ESTV solches nicht verlangt habe. Diese Aussage erweist sich mit Blick auf das Schreiben der ESTV vom 19. Sep­tem­ber 2007, das dem Beschwerdeführer nachweislich zugegangen ist, als tat­sachenwidrig. Im Übrigen ist nicht nachvollziehbar, weshalb es ihm möglich war, die Buchhaltung 2006 und auch das Kontoblatt Nr. 6000 (Ein­nahmen Taxi­betrieb) des Jahres 2005 einzureichen, nicht aber die gesamte Buchhaltung 2005. Weil Unterlagen, die eine effektive Berechnung der Vorsteu­erlast für das Jahr 2005 erlaubt hätten, fehlten und immer noch fehlen, war die ESTV befugt, die Steu­erzahllast des Jahres 2005 ermessensweise festzulegen (oben E. 1.5).</w:t>
      </w:r>
    </w:p>
    <w:p>
      <w:r>
        <w:rPr>
          <w:b/>
        </w:rPr>
        <w:t>E. 3.3</w:t>
      </w:r>
    </w:p>
    <w:p>
      <w:r>
        <w:t>Bei ihrer Ermessenseinschätzung der Steuerzahllast ging die ESTV wie folgt vor: Zum einen zog sie den im Jahr 2005 für das Taxigewerbe geltenden Saldosteuersatz von 5.2% bei und errechnete so eine Steuerzahllast von Fr. 4'337.65 (5.2% von Fr. 83'416.45). Zum anderen war es ihr möglich, die Vorsteuerlast für das Folgejahr (2006) effektiv zu berechnen, da sie für dieses Jahr über die fraglichen Kontenblätter verfügte. Das für das Jahr 2006 errechnete Mass an Vorsteuern (5.91%, oben C) legte sie auf den Umsatz des Jahres 2005 um. Damit und nach der so verstandenen «effektiven Methode» kam die ESTV auf eine Steuerzahllast für das Jahr 2005 von Fr. 4'187.78. Davon abgesehen, dass sich das Bundes­verwaltungsgericht bei der Über­prü­fung von zu­lässig­er­weise er­folg­ten Ermes­sens­ein­schät­zungen ohnehin eine ge­wis­se Zu­rück­haltung auferlegt (oben E. 1.5), führten beide Methoden deutlich zu einer Steuerzahllast über der massgebenden Grenze von Fr. 4'000.-. Es kann - hinsichtlich der Frage der Steuerzahllast - deshalb offenbleiben, welche der Methoden die richtige war. Der Beschwerdeführer wurde in jedem Fall per 1. Januar 2006 steuerpflichtig.</w:t>
      </w:r>
    </w:p>
    <w:p>
      <w:r>
        <w:rPr>
          <w:b/>
        </w:rPr>
        <w:t>E. 3.4</w:t>
      </w:r>
    </w:p>
    <w:p>
      <w:r>
        <w:t>Schliesslich bleibt die von der ESTV für die Zeit vom 1. - 4. Quar­tal 2006 gefor­derte Steuerschuld von Fr. 4'510.- zu beurteilen. Diesen Betrag errechnete die ESTV ebenfalls in Verwendung des für das Taxigewerbe damals geltenden Saldosteuersatzes von 5.2% (Fr. 4'510.- sind 5.2% des Umsatzes 2006 von Fr. 86'733.-). Fraglich ist allerdings, wes­halb die ESTV für das Jahr 2006 an der Berechnung der Steuerschuld aufgrund der Saldosteuersatzmethode festhielt, obwohl ihr der Beschwerdeführer für dieses Jahr die (gesamte) Buchhaltung eingereicht hatte und dem­nach keine Beweislosigkeit bestand. Sodann hatte die ESTV - zwecks Bestimmung der Steuerzahllast des Vorjahres - für das Jahr 2006 bereits eine effektive Berechnung vorgenommen, was den Betrag von Fr. 4'294.71 ergeben hatte. Die ESTV begründete ihr Vor­gehen in der Vernehmlassung vom 5. August 2010 offenbar damit, dass bereits die Steu­erzahllasten der früheren Jahre mit der Saldosteuersatzmethode bestimmt worden seien und diese Methode für den Beschwerdeführer insgesamt vorteilhafter sei. Dieser Begründung kann sich das Bundesverwal­tungs­gericht nicht anschliessen. Zwar waren insgesamt betrachtet auch für das Jahr 2006, da der Beschwerdeführer seiner Anmeldepflicht bzw. seiner Pflicht zur Selbstveranlagung nicht nachgekommen war, die Voraussetzungen der Ermessens­ein­schät­zung erfüllt. Doch hat die ESTV gemäss ständiger Rechtsprechung (oben E. 1.6) auch im Rahmen einer Ermesseneinschätzung bei ihrer Berech­nung soweit möglich den brauchbaren Teil der Buchhaltung zu berück­sichtigen. Bezüglich des Jahres 2006 ist deshalb auf die effektive, aufgrund der Buchhaltung durchgeführte Berech­nung der Vorsteuern und nicht auf jene nach der Saldosteuersatzmethode abzustellen.</w:t>
      </w:r>
    </w:p>
    <w:p>
      <w:r>
        <w:rPr>
          <w:b/>
        </w:rPr>
        <w:t>E. 3.5</w:t>
      </w:r>
    </w:p>
    <w:p>
      <w:r>
        <w:t>Demzufolge ist die Beschwerde - was den Beginn der Steuerpflicht per 1. Januar 2006 betrifft - abzuweisen. Bezüglich der für die Zeit vom 1. - 4. Quartal 2006 geschuldeten Mehrwertsteuern ist sie im Umfang von Fr. 215.30 (aufgerundete Differenz zwischen Fr. 4'510.- und Fr. 4'294.71) gutzuheissen, im Übrigen (entsprechend um einen Rappen abgerundet: Fr. 4'294.70) ebenfalls abzuweisen.</w:t>
      </w:r>
    </w:p>
    <w:p>
      <w:r>
        <w:rPr>
          <w:b/>
        </w:rPr>
        <w:t>E. 4</w:t>
      </w:r>
    </w:p>
    <w:p>
      <w:r>
        <w:t>Gemäss Art. 63 Abs. 1 VwVG sind die Verfahrenskosten in der Regel der unterliegenden Partei aufzuerlegen, wobei sie bei nur teilweisem Unterliegen zu ermässigen sind. Angesichts seines sehr geringfügigen Obsiegens rechtfertigt es sich, die Verfahrenskosten in Höhe von Fr. 1'000.- vollumfänglich dem Beschwerdeführer aufzuerlegen (vgl. Urteil des Bundesverwaltungsgerichts A-1898/2009 vom 26. August 2010 E. 9.3). Diese sind mit dem in gleicher Höhe geleisteten Kostenvorschuss zu verrechnen. Eine Parteientschädigung an den Beschwerdeführer ist aus demselben Grund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