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A-4077/2021 vom 11. Mai 2022</w:t>
      </w:r>
    </w:p>
    <w:p>
      <w:r>
        <w:t>Bundesverwaltungsgericht, 2022-05-11, DE</w:t>
      </w:r>
    </w:p>
    <w:p>
      <w:r>
        <w:rPr>
          <w:b/>
        </w:rPr>
        <w:t xml:space="preserve">Quelle: </w:t>
      </w:r>
      <w:r>
        <w:t>https://mcp.opencaselaw.ch/entscheid/bvger_A-4077_2021</w:t>
      </w:r>
    </w:p>
    <w:p>
      <w:r>
        <w:t>FR: TAF A-4077/2021 du 11 mai 2022</w:t>
      </w:r>
    </w:p>
    <w:p>
      <w:r>
        <w:t>IT: TAF A-4077/2021 del 11 maggio 2022</w:t>
      </w:r>
    </w:p>
    <w:p>
      <w:pPr>
        <w:pStyle w:val="Heading2"/>
      </w:pPr>
      <w:r>
        <w:t>Regeste</w:t>
      </w:r>
    </w:p>
    <w:p>
      <w:r>
        <w:t>Zölle</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Der angefochtene Entscheid ist eine Verfügung im Sinne von Art. 5 VwVG. Die EZV ist zudem eine Vorinstanz des Bundesverwaltungsgerichts (vgl. Art. 33 VGG). Dieses ist daher für die Beurteilung der vorliegenden Beschwerde zuständig (vgl. auch Art. 116 ZG). Das Verfahren richtet sich - soweit das VGG nichts anderes bestimmt - nach den Vorschriften des VwVG (Art. 37 VGG).</w:t>
      </w:r>
    </w:p>
    <w:p>
      <w:r>
        <w:rPr>
          <w:b/>
        </w:rPr>
        <w:t>E. 1.2</w:t>
      </w:r>
    </w:p>
    <w:p>
      <w:r>
        <w:t>Die Beschwerdeführerin ist Adressatin des angefochtenen Entscheids und damit zur Beschwerdeerhebung legitimiert (vgl. Art. 48 Abs. 1 VwVG). Auf die im Übrigen form- und fristgerecht eingereichte Beschwerde (vgl. Art. 20 Abs. 1 und 3 i.V.m. Art. 50 Abs. 1 VwVG, Art. 52 Abs. 1 VwVG) ist daher - unter Vorbehalt des nachfolgend unter E.1.3 Dargelegten - einzutreten.</w:t>
      </w:r>
    </w:p>
    <w:p>
      <w:r>
        <w:rPr>
          <w:b/>
        </w:rPr>
        <w:t>E. 1.3</w:t>
      </w:r>
    </w:p>
    <w:p>
      <w:r>
        <w:t>Anfechtungsobjekt im Verfahren vor dem Bundesverwaltungsgericht bildet einzig der vorinstanzliche Entscheid; dieser ersetzt allfällige Entscheide unterer Instanzen (sog. Devolutiveffekt; vgl. BGE 134 II 142 E. 1.4; Urteile des BVGer A-6214/2018 vom 20. April 2020 E. 1.3, A-5624/2018 vom 19. Juli 2019 E. 1.2; André Moser/Michael Beusch/Lorenz Kneubühler, Prozessieren vor dem Bundesverwaltungsgericht, 2. Aufl. 2013, Rz. 2.7). Soweit die Beschwerdeführerin vorliegend die Aufhebung der Nachforderungsverfügung der Zollkreisdirektion vom 27. Oktober 2017 beantragt, ist deshalb auf die Beschwerde nicht einzutreten. Immerhin gilt diese Verfügung als inhaltlich mitangefochten (vgl. BGE 134 II 142 E. 1.4; Urteil des BVGer A-5624/2018 vom 19. Juli 2019 E. 1.2).</w:t>
      </w:r>
    </w:p>
    <w:p>
      <w:r>
        <w:rPr>
          <w:b/>
        </w:rPr>
        <w:t>E. 1.4</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Sachverhaltes sowie Unangemessenheit rügen (Art. 49 VwVG).</w:t>
      </w:r>
    </w:p>
    <w:p>
      <w:r>
        <w:rPr>
          <w:b/>
        </w:rPr>
        <w:t>E. 1.5.1</w:t>
      </w:r>
    </w:p>
    <w:p>
      <w:r>
        <w:t>Zur Bestimmung des anwendbaren materiellen Rechts sind gemäss einem allgemeinen intertemporalrechtlichen Grundsatz in zeitlicher Hinsicht diejenigen Rechtssätze anzuwenden, die bei der Verwirklichung des zu Rechtsfolgen führenden Sachverhalts in Geltung standen (statt vieler: BGE 129 II 497 E. 5.3.2, 119 Ib 103 E. 5; BVGE 2007/25 E. 3.1).</w:t>
      </w:r>
    </w:p>
    <w:p>
      <w:r>
        <w:rPr>
          <w:b/>
        </w:rPr>
        <w:t>E. 1.5.2</w:t>
      </w:r>
    </w:p>
    <w:p>
      <w:r>
        <w:t>Der vorliegend zu beurteilende Sachverhalt hat sich am 14. Oktober 2016 (Zollanmeldung des Pferdes für die ZAVV) verwirklicht. Entsprechend sind vorliegend das ZG sowie die Zollverordnung vom 1. November 2006 (ZV, SR 631.01) in der am 14. Oktober 2016 gültigen Fassung (ZG: AS 2016 2429; ZV AS 2015 4917) anwendbar. Zudem kommen das am 1. Januar 2010 in Kraft getretene MWSTG, in der bis Ende 2017 gültig gewesenen Fassung (AS 2009 5203) sowie die AEV (AS 2011 5323) zur Anwendung.</w:t>
      </w:r>
    </w:p>
    <w:p>
      <w:r>
        <w:rPr>
          <w:b/>
        </w:rPr>
        <w:t>E. 2.1</w:t>
      </w:r>
    </w:p>
    <w:p>
      <w:r>
        <w:t>Waren, die ins schweizerische Zollgebiet verbracht werden, sind grundsätzlich zollpflichtig und nach dem ZG sowie nach dem Zolltarifgesetz vom 9. Oktober 1986 (ZTG, SR 632.10) zu veranlagen (Art. 7 ZG). Einfuhren von Gegenständen unterliegen zudem im Allgemeinen der Einfuhrsteuer (Art. 50 ff. MWSTG). Vorbehalten bleiben Abweichungen wie Zollbefreiungen und -erleichterungen sowie Steuerbefreiungen, die sich aus Staatsverträgen oder besonderen Bestimmungen von Gesetzen oder Verordnungen ergeben (vgl. Art. 2 Abs. 1 ZG, Art. 1 Abs. 2 ZTG, Art. 53 MWSTG).</w:t>
      </w:r>
    </w:p>
    <w:p>
      <w:r>
        <w:rPr>
          <w:b/>
        </w:rPr>
        <w:t>E. 2.2</w:t>
      </w:r>
    </w:p>
    <w:p>
      <w:r>
        <w:t>Die Zollanmeldung basiert auf dem Selbstdeklarationsprinzip, wonach von der anmeldepflichtigen Person eine vollständige und richtige Deklaration der Ware verlangt wird. Hinsichtlich der diesbezüglichen Sorgfaltspflicht werden an die anmeldepflichtige Person hohe Anforderungen gestellt (Barbara Schmid, in: Kocher/Clavadetscher [Hrsg.], Handkommentar zum Zollgesetz, 2009, [nachfolgend: Zollkommentar], Art. 18 N 3 f.; Botschaft des Bundesrats vom 15. Dezember 2003 über ein neues Zollgesetz [nachfolgend: Botschaft ZG], BBl 2004 567, 601; statt vieler: Urteil des BVGer A-5320/2018 vom 26. August 2019 E. 2.3.2). Die Zollpflichtigen müssen sich vorweg über die Zollpflicht sowie die jeweiligen Abfertigungsverfahren informieren und die Waren entsprechend zur Veranlagung anmelden. Unterlassen sie dies, haben sie dafür prinzipiell selber die Verantwortung zu tragen (Urteil des BVGer A-5477/2013 vom 24. März 2014 E. 2.7 m.w.H.). Die Mitwirkungs- und Sorgfaltspflichten des Zollverfahrens gelten auch für die Erhebung der Einfuhrsteuer (vgl. Art. 50 MWSTG; Urteil des BVGer A-3322/2018 vom 11. Dezember 2018 E. 3.4; zum Ganzen: Urteil des BVGer A-2764/2018 vom 23. Mai 2019 E. 2.3.2) sowie für Einfuhren im Zusammenhang mit der AEV.</w:t>
      </w:r>
    </w:p>
    <w:p>
      <w:r>
        <w:rPr>
          <w:b/>
        </w:rPr>
        <w:t>E. 2.3.1</w:t>
      </w:r>
    </w:p>
    <w:p>
      <w:r>
        <w:t>Da Waren, die nur vorübergehend in ein Zollgebiet verbracht und dort genutzt werden, nicht endgültig in den wirtschaftlichen Kreislauf eines Zoll-gebiets eingehen, können sie anders behandelt werden als Waren, die uneingeschränkt am Binnenmarkt teilnehmen (vgl. Heinz Schreier, Zollkommentar, Art. 9 N 1). Zu diesem Zweck ist das Verfahren der vorübergehenden Verwendung vorgesehen (Art. 9, Art. 47 Abs. 2 Bst. d, Art. 58 ZG; Art. 30 - 37, Art. 162 - 164 ZV; vgl. statt vieler: Urteil des BVGer A-3365/2020 vom 19. März 2021 E. 3.1 m.w.H.).</w:t>
      </w:r>
    </w:p>
    <w:p>
      <w:r>
        <w:rPr>
          <w:b/>
        </w:rPr>
        <w:t>E. 2.3.2</w:t>
      </w:r>
    </w:p>
    <w:p>
      <w:r>
        <w:t>Gestützt auf Art. 9 ZG wird in Art. 30 Abs. 1 ZV bestimmt, dass Waren zur vorübergehenden Verwendung im Zollgebiet zollfrei sind, wenn sie im Eigentum einer Person mit Sitz oder Wohnsitz ausserhalb des Zollgebiets sind und von einer solchen Person verwendet werden (Bst. a), ihre Identität gesichert werden kann (Bst. b), die Verwendung höchstens zwei Jahre dauert (Bst. c) und sie in unverändertem Zustand wieder ausgeführt wer-den, wobei der Verbrauch nicht als Veränderung gilt (Bst. d). Sind die Voraussetzungen nach Abs. 1 erfüllt, so gilt das Verfahren der vorübergehenden Verwendung als bewilligt (Abs. 4). Bis zur Wiederausfuhr oder Überführung in den zollrechtlich freien Verkehr unterliegen die Waren der Zollüberwachung und der Zollprüfung (Art. 23 Abs. 1 ZG).</w:t>
      </w:r>
    </w:p>
    <w:p>
      <w:r>
        <w:rPr>
          <w:b/>
        </w:rPr>
        <w:t>E. 2.3.3</w:t>
      </w:r>
    </w:p>
    <w:p>
      <w:r>
        <w:t>Der Umsetzung der materiellen Fiskalbestimmungen von Art. 9 ZG dient Art. 58 ZG (Schreier, Zollkommentar, Art. 9 N 6). Demgemäss sind Waren, die zur vorübergehenden Verwendung ins Zollgebiet verbracht werden sollen, zum gleichnamigen Verfahren anzumelden (Art. 58 Abs. 1 ZG). Dabei werden laut Abs. 2 letzterer Bestimmung die Einfuhrzollabgaben oder allfällige Ausfuhrzollabgaben mit bedingter Zahlungspflicht veranlagt (Bst. a), wird die Identität der Ware gesichert (Bst. b), wird die Dauer der vorübergehenden Verwendung festgesetzt (Bst. c) und werden die nichtzollrechtlichen Erlasse des Bundes angewendet (Bst. d). Wird das Verfahren der vorübergehenden Verwendung nicht ordnungsgemäss abgeschlossen, werden die veranlagten Abgaben fällig; es sei denn, die Waren wurden innerhalb der festgesetzten Frist wieder aus dem Zollgebiet oder ins Zollgebiet verbracht und ihre Identität kann nachgewiesen werden (Art. 58 Abs. 3 ZG; siehe dazu auch Urteil des BVGer A-7503/2016 und A-7513/2016 vom 16. Januar 2018 E. 7.4.3).</w:t>
      </w:r>
    </w:p>
    <w:p>
      <w:r>
        <w:rPr>
          <w:b/>
        </w:rPr>
        <w:t>E. 2.3.4</w:t>
      </w:r>
    </w:p>
    <w:p>
      <w:r>
        <w:t>Die anmeldepflichtige Person muss den Verwendungszweck der Ware und deren Verwender bei der Zollanmeldung angeben (Art. 162 Abs. 1 ZV). Ändert der Verwendungszweck oder die Verwenderin, oder wird das Eigentum der Ware übertragen, so muss die anmeldepflichtige Person eine neue Zollanmeldung einreichen. Sie muss allfällige weitere anmeldepflichtigen Personen auf ihre Pflichten hinweisen (Art. 162 Abs. 2 ZV). Die neue Zollanmeldung muss vor der relevanten Änderung eingereicht werden. Wird keine neue Zollanmeldung nach Absatz 2 eingereicht, so entsteht die Zollschuld im Zeitpunkt, in dem die neue Zollanmeldung hätte eingereicht werden müssen (Art. 162 Abs. 4 ZV).</w:t>
      </w:r>
    </w:p>
    <w:p>
      <w:r>
        <w:rPr>
          <w:b/>
        </w:rPr>
        <w:t>E. 2.4</w:t>
      </w:r>
    </w:p>
    <w:p>
      <w:r>
        <w:t>Die Zollzahlungspflicht obliegt der Zollschuldnerin bzw. dem Zollschuldner (Art. 70 Abs. 1 ZG). Zum entsprechenden Kreis gehören jene Personen, welche die Waren über die Zollgrenze bringt, deren Auftraggeber sowie die Person, die zur Zollanmeldung verpflichtet bzw. damit beauftragt ist oder auf deren Rechnung die Ware ein- oder ausgeführt wird (Art. 70 Abs. 2 ZG). Die Zollschuldner haften für die Zollschuld solidarisch. Der Rückgriff unter ihnen richtet sich nach dem Obligationenrecht (Art. 70 Abs. 3 ZG). Als Auftraggeber gilt nach bundesgerichtlicher Rechtsprechung diejenige Person, die die Ware über die Grenze bringen lässt. Als solche gilt nicht nur die (natürliche oder juristische) Person, die im zivilrechtlichen Sinne mit dem Transporteur einen Frachtvertrag abschliesst, sondern jede Person, welche die Wareneinfuhr tatsächlich veranlasst (zum Ganzen: Urteil des BGer 2C_420/2013 vom 4. Juli 2014 E. 3.3 f.) Zollschuldner nach Art. 70 ZG sind auch für die Einfuhrsteuer steuerpflichtig (Art. 51 Abs. 1 MWSTG) bzw. für die Abgaben gemäss AEV abgabepflichtig (Art. 90 ZG i.V.m. Art. 52 Abs. 2 AEV).</w:t>
      </w:r>
    </w:p>
    <w:p>
      <w:r>
        <w:rPr>
          <w:b/>
        </w:rPr>
        <w:t>E. 2.5</w:t>
      </w:r>
    </w:p>
    <w:p>
      <w:r>
        <w:t>Wer als Importeur gilt, definieren weder das ZG noch das MWSTG (vgl. Regine Schluckebier, in: Geiger/Schluckebier [Hrsg.], Kommentar zum Bundesgesetz über die Mehrwertsteuer, 2. Aufl. 2019 [nachfolgend: Kommentar MWSTG 2019], Art. 51 N 14). Laut Art. 6 Abs. 1 Satz 3 der Verordnung vom 12. Oktober 2011 über die Statistik des Aussenhandels (SR 632.14) gilt als Importeur, wer die Ware ins Zollinland einführt oder auf seine Rechnung einführen lässt (vgl. Urteil des BGer 2C_1079/2016 vom 7. März 2017 E. 2.2.3; Urteil des BVGer A-714/2018 vom 23. Januar 2019 E. 13.2).</w:t>
      </w:r>
    </w:p>
    <w:p>
      <w:r>
        <w:rPr>
          <w:b/>
        </w:rPr>
        <w:t>E. 2.6.1</w:t>
      </w:r>
    </w:p>
    <w:p>
      <w:r>
        <w:t>Die im Zusammenhang mit dem Beitritt der Schweiz zur Welthandelsorganisation (WTO) per 1. Juli 1995 und der Ratifizierung der entsprechenden GATT/WTO-Übereinkommen (Abkommen vom 15. April 1994 zur Errichtung der Welthandelsorganisation, SR 0.632.20; Übereinkommen über die Landwirtschaft, Anhang 1A.3 zum Abkommen) eingeführte Regelung betreffend die Einfuhr von Agrarprodukten erlaubt den Import sowohl inner- als auch ausserhalb eines Zollkontingents. Die Einfuhr innerhalb eines Kontingents unterliegt gewöhnlich einem geringeren Zollansatz (KZA) als jene ausserhalb (AKZA). Kommt der AKZA zur Anwendung, wirkt dieser regelmässig prohibitiv (vgl. BGE 129 II 160 E. 2.1, 128 II 34 E. 2b; Urteile des BGer 2C_82/2007 vom 3. Juli 2007 E. 2.1 und E. 2.2, 2A.1/2004 vom 31. März 2004 E. 2.1; Urteil des BVGer A-5064/2011 vom 4. Juni 2012 E. 2.3.1. m.w.H.).</w:t>
      </w:r>
    </w:p>
    <w:p>
      <w:r>
        <w:rPr>
          <w:b/>
        </w:rPr>
        <w:t>E. 2.6.2</w:t>
      </w:r>
    </w:p>
    <w:p>
      <w:r>
        <w:t>Bei Einfuhren innerhalb bzw. ausserhalb der zugeteilten Kontingente gilt ausnahmslos das Prinzip der Eigenverantwortung. Sind im Zeitpunkt der Einfuhr nicht sämtliche Voraussetzungen für eine Verzollung nach dem KZA erfüllt, gelangt zwingend der AKZA zur Anwendung, es sei denn, ein allgemeiner Zollbefreiungs- oder ein Zollbegünstigungstatbestand liege vor (Urteile des BVGer A-5064/2011 vom 4. Juni 2012 E. 2.5.1, A-2206/2007 vom 24. November 2008 E. 2.5.1, A-1730/2006 vom 4. Februar 2008 E. 2.2).</w:t>
      </w:r>
    </w:p>
    <w:p>
      <w:r>
        <w:rPr>
          <w:b/>
        </w:rPr>
        <w:t>E. 2.7.1</w:t>
      </w:r>
    </w:p>
    <w:p>
      <w:r>
        <w:t>Steuerobjekt der Einfuhrsteuer ist die Einfuhr von Gegenständen, einschliesslich der darin enthaltenen Dienstleistungen ins (Zoll-)inland (Art. 52 Abs. 1 Bst. a MWSTG). Bei der Einfuhr handelt es sich um einen zollrechtlichen Tatbestand (Art. 6 Bst. g ZG). Nach schweizerischem Verständnis setzt sich dieser einerseits aus dem tatsächlichen Verbringen der Ware ins Inland (Realkomponente; Art. 21 ZG), andererseits aus der Überführung des Gegenstandes in den zollrechtlich freien Verkehr zusammen (Verfahrenskomponente; Art. 47 Abs. 2 Bst. a ZG; Schreier, Zollkommentar, Art. 6 N 35; zum Ganzen: Urteil des BGer 2C_1079/2016 vom 7. März 2017 E. 2.2.1).</w:t>
      </w:r>
    </w:p>
    <w:p>
      <w:r>
        <w:rPr>
          <w:b/>
        </w:rPr>
        <w:t>E. 2.7.2</w:t>
      </w:r>
    </w:p>
    <w:p>
      <w:r>
        <w:t>Die Steuer auf der Einfuhr wird im Normalfall auf dem von den Parteien vereinbarten und vom Importeur zu entrichtenden Entgelt erhoben, wenn der Gegenstand im Rahmen eines Veräusserungs- oder Kommis-sionsgeschäfts eingeführt wird (Art. 54 Abs. 1 Bst. a MWSTG).</w:t>
      </w:r>
    </w:p>
    <w:p>
      <w:r>
        <w:rPr>
          <w:b/>
        </w:rPr>
        <w:t>E. 2.8.1</w:t>
      </w:r>
    </w:p>
    <w:p>
      <w:r>
        <w:t>Wer sich oder einem anderen einen unrechtmässigen Zoll- oder Steuervorteil verschafft, insbesondere indem er vorsätzlich oder fahrlässig Waren bei der Einfuhr nicht oder unrichtig anmeldet, begeht eine Widerhandlung gegen die Zoll- bzw. Mehrwertsteuergesetzgebung (vgl. Art. 118 ZG, Art. 96 MWSTG). Sowohl die Zoll- als auch die Mehrwertsteuergesetzgebung gehören zur Verwaltungsgesetzgebung des Bundes (Urteil des BVGer A-1478/2019 vom 5. Januar 2021 E. 2.4.1 m.w.H.).</w:t>
      </w:r>
    </w:p>
    <w:p>
      <w:r>
        <w:rPr>
          <w:b/>
        </w:rPr>
        <w:t>E. 2.8.2</w:t>
      </w:r>
    </w:p>
    <w:p>
      <w:r>
        <w:t>Gemäss Art. 12 Abs. 1 Bst. a des Bundesgesetzes vom 22. März 1974 über das Verwaltungsstrafrecht (VStrR, SR 313.0) sind Abgaben nachzuentrichten, wenn sie infolge einer Widerhandlung gegen die Verwaltungsgesetzgebung des Bundes zu Unrecht nicht erhoben worden sind. Dies gilt «ohne Rücksicht auf die Strafbarkeit einer bestimmten Person» (Art. 12 Abs. 1 VStrR). Die Leistungspflicht im Sinne von Art. 12 VStrR hängt weder von einer strafrechtlichen Verantwortlichkeit noch von einem Verschulden oder gar der Einleitung eines Strafverfahrens ab. Vielmehr genügt es, dass der durch die Nichterhebung der entsprechenden Abgabe entstandene unrechtmässige Vorteil auf einer objektiven Widerhandlung gegen die Verwaltungsgesetzgebung des Bundes gründet (zum Ganzen: BGE 129 II 160 E. 3.2, 106 Ib 218 E. 2c; Urteile des BGer 2C_219/2019 E. 5, 2C_424/2014 vom 18. Juli 2015 E. 5.2.2, 2C_420/2013 vom 4. Juli 2014 E. 3.2; Urteile des BVGer A-1497/2019 vom 7. Oktober 2020 E. 2.3.2, A-5624/2018 vom 19. Juli 2019 E. 5.6.1., A-714/2018 vom 23. Januar 2019 E. 10.4.; Stefan Oesterhelt/Laetitia Fracheboud, in: Frank/Eicker/Markwalder/Achermann [Hrsg.], Basler Kommentar, Verwaltungsstrafrecht, 2020 [nachfolgend: BSK VStrR], Art. 12 N 5).</w:t>
      </w:r>
    </w:p>
    <w:p>
      <w:r>
        <w:rPr>
          <w:b/>
        </w:rPr>
        <w:t>E. 2.8.3</w:t>
      </w:r>
    </w:p>
    <w:p>
      <w:r>
        <w:t>Zu den gestützt auf Art. 12 Abs. 2 VStrR Nachleistungspflichtigen gehört nach dem Gesetzeswortlaut «insbesondere der zur Zahlung der Abgabe Verpflichtete», d.h. für die Zollabgaben jene Personen, welche dem Kreis der Zollschuldnerinnen und Zollschuldner gemäss Art. 70 ZG entsprechen. Sie gelten ipso facto als durch die Nichtbezahlung der Abgabe bevorteilt (Urteil des BGer 2C_420/2013 vom 4. Juli 2014 E. 3.3). Sie bleiben selbst dann leistungspflichtig, wenn sie nichts von der falschen bzw. fehlenden Deklaration gewusst haben (BGE 107 Ib 198 E. 6c/d) und wenn sie selber aus der Widerhandlung keinen persönlichen Nutzen gezogen haben (Urteil des BGer 2A.242/2006 vom 2. Februar 2007 E. 2.2; Urteile des BVGer A-1497/2019 vom 7. Oktober 2020 E. 2.3.2, A-5936/2016 vom 16. August 2017 E. 4.4; Michael Beusch, Zollkommentar, Art. 70 N 12).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(Art. 70 Abs. 3 ZG; Urteile des BGer 2C_420/2013 vom 4. Juli 2014 E. 3.3, 2A.242/2006 vom 2. Februar 2007 E. 2.2; Urteile des BVGer A-1497/2019 vom 7. Oktober 2020 E. 2.3.2, A-5936/2016 vom 16. August 2017 E. 4.4).</w:t>
      </w:r>
    </w:p>
    <w:p>
      <w:r>
        <w:rPr>
          <w:b/>
        </w:rPr>
        <w:t>E. 2.8.4</w:t>
      </w:r>
    </w:p>
    <w:p>
      <w:r>
        <w:t>Die Strafverfolgung im Zusammenhang mit Widerhandlungen gegen das Zollgesetz unterliegt den Bestimmungen des VStrR (Art. 128 ZG, Art. 62 VStrR), während auf das Verfahren für die Festsetzung der nachzuentrichtenden oder zurückzuzahlenden Abgaben gemäss Art. 12 VStrR die Zuständigkeits- und Verfahrensvorschriften des betreffenden Verwaltungsgesetzes Anwendung finden (Art. 63 Abs. 1 VStrR). Dabei darf sich die zuständige Bundesverwaltungsbehörde auf die Ergebnisse einer verwaltungsstrafrechtlichen Untersuchung stützen (Urteil des BGer 2C_112/2010 vom 30. September 2010 E. 5.3; André Haiböck, BSK-VStrR, Art. 63 N 9). Aufgrund der Trennung zwischen diesen beiden Verfahren gelten in den Verfahren zur Festsetzung der Leistungspflicht nach Art. 12 VStrR die strafprozessualen Verfahrensgarantien nicht (vgl. Art. 32 der Bundesverfassung der Schweizerischen Eidgenossenschaft vom 18. April 1999 [BV, SR 101], Art. 6 Abs. 3 der Konvention vom 4. November 1950 zum Schutze der Menschenrechte und Grundfreiheiten [EMRK, SR 0.101]; Müller/Schefer, Grundrechte in der Schweiz, 4. Aufl. 2008, S. 980 f.; Hans Vest, in: Ehrenzeller/Schindler/Schweizer/Vallender [Hrsg.], Die schweizerische Bundesverfassung, Kommentar, 3. Aufl. 2014, N 1 ff. zu Art. 32 BV; je mit Hinweisen). Mit anderen Worten hat eine Verletzung dieser Garantien keinen Einfluss auf die Gültigkeit der Leistungsentscheide, und eventuelle Verletzungen strafprozessualer Garantien müssen im Verwaltungsstrafverfahren geltend gemacht werden. Sie können daher nicht nachträglich in einem Rechtsmittelverfahren gegen die Leistungs- oder Rückleistungspflicht i.S.v. Art. 12 Abs. 1 und 2 VStrR behandelt werden (Urteile des BGer 2C_867/2018 vom 6. November 2019 E. 6.1., 2C_112/2010 vom 30. September 2010 E. 3.2 f., 2C_201/2013 vom 24. Januar 2014 E. 4.2).</w:t>
      </w:r>
    </w:p>
    <w:p>
      <w:r>
        <w:rPr>
          <w:b/>
        </w:rPr>
        <w:t>E. 3</w:t>
      </w:r>
    </w:p>
    <w:p>
      <w:r>
        <w:t>Bestritten ist vorliegend, ob die Beschwerdeführerin als nachleistungspflichtige Person im Sinne von Art. 12 Abs. 2 VStrR anzusehen ist. Zudem erhebt die Beschwerdeführerin verschiedene verfahrensbezogene Rügen. Den zu beurteilenden Sachverhalt bestreitet die Beschwerdeführerin nicht. Dieser ergibt sich zudem aus den Akten.</w:t>
      </w:r>
    </w:p>
    <w:p>
      <w:r>
        <w:rPr>
          <w:b/>
        </w:rPr>
        <w:t>E. 3.1</w:t>
      </w:r>
    </w:p>
    <w:p>
      <w:r>
        <w:t>Vorab ist auf die Rügen der Beschwerdeführerin einzugehen, ihr sei die in der Strafprozessordnung vorgesehene Möglichkeit, einen Rechtsbeistand zuzuziehen, verwehrt gewesen, da sie ohne Vorankündigung von der Zollfahndung an ihrem Wohnort befragt worden sei. Zusätzlich zu dieser nach Ansicht der Beschwerdeführerin unverhältnismässigen Aktion habe die Zollfahndung mit übertriebenem Formalismus agiert und den Grundsatz von Treu und Glauben gemäss Art. 3 der Schweizerischen Strafprozessordnung vom 5. Oktober 2007 (StPO, SR 312.0) nicht beachtet. Vorliegend führte die Zollkreisdirektion das Verfahren von Anfang an als Strafuntersuchung. Die in der Folge ergangene Nachforderungsverfügung stellt einen Leistungsentscheid gemäss Art. 63 VStrR dar und nicht einen Strafbescheid, wie dies die Beschwerdeführerin fälschlicherweise annimmt. Dieser Leistungsentscheid unterliegt den Bestimmungen des entsprechenden Bundesverwaltungsgesetzes und nicht dem Verwaltungsstrafverfahren (E. 2.8.2). Auf die allfällige Verletzung strafprozessualer Garantien ist im vorliegenden Verfahren daher nicht weiter einzugehen (E. 2.8.4).</w:t>
      </w:r>
    </w:p>
    <w:p>
      <w:r>
        <w:rPr>
          <w:b/>
        </w:rPr>
        <w:t>E. 3.2</w:t>
      </w:r>
    </w:p>
    <w:p>
      <w:r>
        <w:t>Im Folgenden ist zu prüfen, ob die Voraussetzungen für die Nachleistungspflicht gemäss Art. 12 VStrR erfüllt sind. Dies ist u.a. dann der Fall, wenn in Folge einer objektiven Widerhandlung gegen die Verwaltungsgesetzgebung des Bundes zu Unrecht Abgaben nicht erhoben wurden (Art. 12 Abs. 1 Bst. a VStrR; E. 3.2.1), und wenn es sich bei der Beschwerdeführerin um eine nachleistungspflichtige Person gemäss Art. 12 Abs. 2 VStrR handelt (E. 3.2.2).</w:t>
      </w:r>
    </w:p>
    <w:p>
      <w:r>
        <w:rPr>
          <w:b/>
        </w:rPr>
        <w:t>E. 3.2.1</w:t>
      </w:r>
    </w:p>
    <w:p>
      <w:r>
        <w:t>Das Pferd wurde vom Abgabepflichtigen am 14. Oktober 2016 mittels ZAVV zugegebenermassen unter dem falschen Verwendungszweck («Ausbildungszweck») und unter Vorlage eines angeblichen Ausbildungsvertrages zum KZA vorübergehend ins schweizerische Zollgebiet eingeführt. Als anmeldepflichtige Person hätte der Abgabepflichtige zudem aufgrund des geplanten Eigentümerwechsels noch vor dem 10. November 2016 (Eigentumsübergang des sich physisch in der Schweiz befindenden Pferdes auf die in der Schweiz wohnhafte Beschwerdeführerin [vgl. E. 2.3.2]) eine neue Zollanmeldung zur definitiven Einfuhr bzw. zur Überführung in den zollrechtlich freien Verkehr einreichen müssen (E. 2.3.3 f.). Weil er dies jedoch unterlassen hat, ist zu diesem Zeitpunkt die betreffende Zollschuld entstanden (E. 2.3.4). Eine entsprechende Veranlagung war zu diesem Zeitpunkt nur noch zum höheren AKZA möglich, da das Zollkontingent bereits ausgeschöpft war (E. 2.6.1 f.). Vorliegend erfolgte die Zollanmeldung zur definitiven Einfuhr fälschlicherweise jedoch erst am 10. Januar 2017, und zwar zum KZA, und zudem zu einem zu tiefen Wert mit einer fingierten, vom Abgabepflichtigen selbst erstellten Quittung. Dadurch wurden die Zollabgaben fälschlicherweise zum niedrigeren KZA statt zum höheren AKZA erhoben. Es liegt somit eine Widerhandlung gegen die Verwaltungsgesetzgebung des Bundes vor (E. 2.8.1).</w:t>
      </w:r>
    </w:p>
    <w:p>
      <w:r>
        <w:rPr>
          <w:b/>
        </w:rPr>
        <w:t>E. 3.2.2</w:t>
      </w:r>
    </w:p>
    <w:p>
      <w:r>
        <w:t>Als die Beschwerdeführerin am 10./11. November 2016 das Pferd kaufte, befand sich dieses zwar physisch im schweizerischen Zollgebiet, war aber fälschlicherweise noch nicht zur definitiven Einfuhr veranlagt worden (E. 2.3.4). Gemäss dem von der Beschwerdeführerin unterschriebenen Einvernahmeprotokoll und der Beschwerdeschrift wusste die Beschwerdeführerin, dass das Pferd wegen des Zolls «nochmal über die Grenze» musste (Sachverhalt Bst. A.e). Ihr war daher bewusst, dass die Zollabfertigung des Pferdes noch nicht abgeschlossen war. Aufgrund der Situation - die Beschwerdeführerin bezahlte einen Pauschalpreis, der ihrer Ansicht nach sämtliche Abgaben enthielt - konnte sie zudem davon ausgehen, dass der Abgabepflichtige die Zollangelegenheit erledigen würde. Dadurch hat sie zumindest konkludent die Einfuhr des Pferdes mitveranlasst, gilt als Auftraggeberin und somit als Zollschuldnerin im Sinne des Zollgesetzes (E. 2.4). Ob sie gleichzeitig auch als Importeurin / Empfängerin qualifiziert, kann vorliegend offen bleiben. Als Zollschuldnerin ist die Beschwerdeführerin zur Zahlung der Abgaben (vorliegend AKZA und Mehrwertsteuer) verpflichtet und haftet für diese Zollschuld solidarisch mit den anderen Zollschuldnern (E. 2.4).</w:t>
      </w:r>
    </w:p>
    <w:p>
      <w:r>
        <w:rPr>
          <w:b/>
        </w:rPr>
        <w:t>E. 3.2.3</w:t>
      </w:r>
    </w:p>
    <w:p>
      <w:r>
        <w:t>Gemäss ständiger Rechtsprechung wird davon ausgegangen, dass Zollschuldner in den Genuss des unrechtmässigen Vorteils aus dem Nichtbezahlen der Abgabe gelangt sind, weshalb diese als nachleistungspflichtig i.S.v. Art. 12 Abs. 2 VStrR gelten. Dies gilt auch dann, wenn diese die Widerhandlung nicht selbst begangen haben und auch keinen direkten persönlichen Nutzen daraus gezogen haben (E. 2.8.3). Der Grund dieser Regelung liegt darin, sämtlichen Leistungspflichtigen den Genuss des unrechtmässigen Vorteils zu entziehen (E. 2.8.3), und zwar auch dann, wenn dieser Genuss nur potenziell möglich wäre. Da zu Unrecht Abgaben nicht erhoben wurden und die Beschwerdeführerin als Zollschuldnerin zu qualifizieren ist, gilt sie als nachleistungspflichtige Person i.S.v. Art. 12 Abs. 2 VStrR. Somit ist sie für die nicht bezahlten Abgaben mit dem Abgabepflichtigen solidarisch leistungspflichtig.</w:t>
      </w:r>
    </w:p>
    <w:p>
      <w:r>
        <w:rPr>
          <w:b/>
        </w:rPr>
        <w:t>E. 3.2.4</w:t>
      </w:r>
    </w:p>
    <w:p>
      <w:r>
        <w:t>Daran ändert auch der Einwand der Beschwerdeführerin nichts, sie habe das Pferd gutgläubig erworben, und die vom Zoll geltend gemachten Regelungen rund um die Zollkontingente seien ihr nicht bekannt gewesen. Dasselbe gilt für ihren Einwand, sie habe nicht gewusst, dass der Abgabepflichtige gegen die relevanten Gesetze verstossen habe und der Abgabepflichtige habe sie nicht auf die entsprechenden Zollbestimmungen hingewiesen. Relevant für die Nachleistungspflicht gemäss Art.12 VStrR ist einzig und allein, dass eine Abgabe aufgrund einer objektiven Widerhandlung gegen die Verwaltungsgesetzgebung des Bundes nicht erhoben wurde (E. 2.8.2). Dies ist gemäss ständiger Rechtsprechung auch dann der Fall, wenn die leistungspflichtige Person die Widerhandlung nicht selbst begangen oder nichts von der falschen Deklaration gewusst hat (E. 2.8.3).</w:t>
      </w:r>
    </w:p>
    <w:p>
      <w:r>
        <w:rPr>
          <w:b/>
        </w:rPr>
        <w:t>E. 3.2.5</w:t>
      </w:r>
    </w:p>
    <w:p>
      <w:r>
        <w:t>Dass die Beschwerdeführerin der Ansicht war, der von ihr für das Pferd bezahlte Betrag schliesse eventuell zu entrichtende Abgaben bereits ein, ändert an der Nachleistungspflicht der Beschwerdeführerin ebenfalls nichts, da diese Annahme ausschliesslich das zivilrechtliche Verhältnis zwischen der Beschwerdeführerin und dem Abgabepflichtigen betrifft.</w:t>
      </w:r>
    </w:p>
    <w:p>
      <w:r>
        <w:rPr>
          <w:b/>
        </w:rPr>
        <w:t>E. 3.2.6</w:t>
      </w:r>
    </w:p>
    <w:p>
      <w:r>
        <w:t>Aufgrund vorstehender Ausführungen ist somit der Vorinstanz zu folgen, und die Beschwerdeführerin ist als nachleistungspflichtig i.S.v. Art. 12 Abs. 2 VStrR zu qualifizieren.</w:t>
      </w:r>
    </w:p>
    <w:p>
      <w:r>
        <w:rPr>
          <w:b/>
        </w:rPr>
        <w:t>E. 4</w:t>
      </w:r>
    </w:p>
    <w:p>
      <w:r>
        <w:t>In rechnerischer Hinsicht wird die Nachforderung samt Verzugszinsen nicht bestritten. Es ergeben sich aus den Akten auch keine Anhaltspunkte, die an der Berechnung oder den Verzugszinsfolgen Zweifel aufkommen lassen. Damit erweist sich der vorinstanzliche Beschwerdeentscheid als rechtmässig. Die Beschwerde ist daher abzuweisen, soweit darauf einzutreten ist.</w:t>
      </w:r>
    </w:p>
    <w:p>
      <w:r>
        <w:rPr>
          <w:b/>
        </w:rPr>
        <w:t>E. 5</w:t>
      </w:r>
    </w:p>
    <w:p>
      <w:r>
        <w:t>Ausgangsgemäss hat die unterliegende Beschwerdeführerin die Verfahrenskosten zu tragen (Art. 63 VwVG). Diese sind auf Fr. 800.- festzusetzen (vgl. Art. 1, 2 und 4 des Reglements vom 21. Februar 2008 über die Kosten und Entschädigungen vor dem Bundesverwaltungsgericht [VGKE, SR 173.320.2]). Der in gleicher Höhe einbezahlte Kostenvorschuss ist zur Bezahlung der Verfahrenskosten zu verwenden. Der Beschwerdeführerin ist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