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A-4057/2008 vom 18. August 2008</w:t>
      </w:r>
    </w:p>
    <w:p>
      <w:r>
        <w:t>Bundesverwaltungsgericht, 2008-08-18, DE</w:t>
      </w:r>
    </w:p>
    <w:p>
      <w:r>
        <w:rPr>
          <w:b/>
        </w:rPr>
        <w:t xml:space="preserve">Quelle: </w:t>
      </w:r>
      <w:r>
        <w:t>https://mcp.opencaselaw.ch/entscheid/bvger_A-4057_2008</w:t>
      </w:r>
    </w:p>
    <w:p>
      <w:r>
        <w:t>FR: TAF A-4057/2008 du 18 août 2008</w:t>
      </w:r>
    </w:p>
    <w:p>
      <w:r>
        <w:t>IT: TAF A-4057/2008 del 18 agosto 2008</w:t>
      </w:r>
    </w:p>
    <w:p>
      <w:pPr>
        <w:pStyle w:val="Heading2"/>
      </w:pPr>
      <w:r>
        <w:t>Regeste</w:t>
      </w:r>
    </w:p>
    <w:p>
      <w:r>
        <w:t>Arbeitnehmerschutz</w:t>
      </w:r>
    </w:p>
    <w:p>
      <w:pPr>
        <w:pStyle w:val="Heading2"/>
      </w:pPr>
      <w:r>
        <w:t>Erwägungen</w:t>
      </w:r>
    </w:p>
    <w:p>
      <w:r>
        <w:rPr>
          <w:b/>
        </w:rPr>
        <w:t>E. 1</w:t>
      </w:r>
    </w:p>
    <w:p>
      <w:r>
        <w:t>Die ETH-Zürich hat dem Beschwerdeführer nach Eintritt der Rechtskraft des vorliegenden Urteils eine Parteientschädigung von Fr. 4'784.-- zu bezahlen.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Beschwerdegegnerin (Gerichtsurkunde) - die Vorinstanz (Ref-Nr. 3106; Gerichtsurkunde) Der vorsitzende Richter: Die Gerichtsschreiberin: Beat Forster Silja Hofer Rechtsmittelbelehrung: Gegen diesen Entscheid kann, soweit die Zulässigkeitsvoraussetzungen erfüllt sind,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