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A-4044/2019 vom 17. Dezember 2019</w:t>
      </w:r>
    </w:p>
    <w:p>
      <w:r>
        <w:t>Bundesverwaltungsgericht, 2019-12-17, DE</w:t>
      </w:r>
    </w:p>
    <w:p>
      <w:r>
        <w:rPr>
          <w:b/>
        </w:rPr>
        <w:t xml:space="preserve">Quelle: </w:t>
      </w:r>
      <w:r>
        <w:t>https://mcp.opencaselaw.ch/entscheid/bvger_A-4044_2019</w:t>
      </w:r>
    </w:p>
    <w:p>
      <w:r>
        <w:t>FR: TAF A-4044/2019 du 17 décembre 2019</w:t>
      </w:r>
    </w:p>
    <w:p>
      <w:r>
        <w:t>IT: TAF A-4044/2019 del 17 dicembre 2019</w:t>
      </w:r>
    </w:p>
    <w:p>
      <w:pPr>
        <w:pStyle w:val="Heading2"/>
      </w:pPr>
      <w:r>
        <w:t>Regeste</w:t>
      </w:r>
    </w:p>
    <w:p>
      <w:r>
        <w:t>Zwangsanschluss an die Auffangeinrichtung</w:t>
      </w:r>
    </w:p>
    <w:p>
      <w:pPr>
        <w:pStyle w:val="Heading2"/>
      </w:pPr>
      <w:r>
        <w:t>Erwägungen</w:t>
      </w:r>
    </w:p>
    <w:p>
      <w:r>
        <w:rPr>
          <w:b/>
        </w:rPr>
        <w:t>E. 1.1</w:t>
      </w:r>
    </w:p>
    <w:p>
      <w:r>
        <w:t>Gemäss Art. 31 VGG beurteilt das Bundesverwaltungsgericht Beschwerden gegen Verfügungen nach Art. 5 des VwVG, sofern - wie vorliegend - keine Ausnahme nach Art. 32 VGG gegeben ist. Die Vorinstanz ist eine Behörde im Sinne von Art. 33 Bst. h VGG, zumal sie öffentlich-rechtliche Aufgaben des Bundes erfüllt (vgl. Art. 60 Abs. 2 des Bundesgesetzes vom 25. Juni 1982 über die berufliche Alters-, Hinterlassenen- und Invalidenvorsorge [BVG, SR 831.40]). Das Bundesverwaltungsgericht ist daher zur Behandlung der vorliegenden Beschwerde zuständig. Das Verfahren vor dem Bundesverwaltungsgericht richtet sich nach dem VwVG, soweit das VGG nichts anderes bestimmt (Art. 37 VGG). Die Beschwerdeführerin hat als Verfügungsadressatin ein schutzwürdiges Interesse an der Aufhebung des vorinstanzlichen Entscheids und ist somit zur Beschwerdeführung berechtigt (Art. 48 Abs. 1 VwVG). Auf die im Übrigen frist- und formgerecht eingereichte Beschwerde (Art. 50 Abs. 1 und 52 Abs. 1 VwVG) ist somit einzutreten.</w:t>
      </w:r>
    </w:p>
    <w:p>
      <w:r>
        <w:rPr>
          <w:b/>
        </w:rPr>
        <w:t>E. 1.2.1</w:t>
      </w:r>
    </w:p>
    <w:p>
      <w:r>
        <w:t>Gemäss Art. 58 Abs. 1 VwVG kann die Vorinstanz bis zu ihrer Vernehmlassung die angefochtene Verfügung in Wiedererwägung ziehen. Die Beschwerdeinstanz setzt die Behandlung der Beschwerde fort, soweit diese durch die neue Verfügung der Vorinstanz nicht gegenstandslos geworden ist (vgl. Art. 58 Abs. 3 VwVG). Sofern diese neue Verfügung die Begehren der beschwerdeführenden Person nur teilweise erfüllt, ist eine Abschreibung infolge Gegenstandslosigkeit unzulässig und die neue Verfügung gilt durch die bereits erhobene Beschwerde gegen die ursprüngliche Verfügung als mitangefochten (Andrea Pleiderer, in: Praxiskommentar VwVG, 2. Aufl. 2016, Art. 58 N 44 und 46 m.w.H.; Urteile des BVGer A-856/2018 vom 25. Oktober 2018 E. 1.2.1, C-6111/2010 vom 11. September 2014 E. 1.1.2).</w:t>
      </w:r>
    </w:p>
    <w:p>
      <w:r>
        <w:rPr>
          <w:b/>
        </w:rPr>
        <w:t>E. 1.2.2</w:t>
      </w:r>
    </w:p>
    <w:p>
      <w:r>
        <w:t>Vorliegend ist das Verfahren im Hauptpunkt, namentlich betreffend den Zwangsanschluss, als durch Wiedererwägung gegenstandslos geworden abzuschreiben. Die Wiedererwägungsverfügung der Vorinstanz vom 20. September 2019 entspricht jedoch nicht vollständig den Anträgen der Beschwerdeführerin, namentlich hinsichtlich der Kostenauflage. Das Stillschweigen der Beschwerdeführerin in dieser Sache nach Erlass der Wiedererwägungsverfügung und Zustellung der Vernehmlassung der Vorinstanz kann im Übrigen nicht als Beschwerderückzug betrachtet werden (vgl. BGE 119 V 38 E. 1b m.w.H. sowie Urteil des BVGer A-5030/2016 vom 16. November 2016). Somit bleibt vorliegend über die Kostenauflage zu entscheiden. Die Kostenauflage wurde in der ursprünglichen Verfügung vom 22. Juli 2019 nicht ausdrücklich verfügt. Es ergibt sich jedoch immerhin aus den Erwägungen und dem Kostenreglement, auf welches im Dispositiv verwiesen wird, dass der Beschwerdeführerin insgesamt Fr. 825.-- (Fr. 450.-- für die Verfügung und Fr. 375.-- für die Durchführung des Zwangsanschlusses) in Rechnung gestellt werden sollten (vgl. dazu: Urteile des BVGer A-856/2018 vom 25. Oktober 2018 E. 1.2.2, A-2347/2018 vom 12. Juli 2018, S. 2 und 4). Vorliegend hat die Vorinstanz in ihrer Wiedererwägungsverfügung die Kosten in der Höhe von Fr. 825.-- für die erste Verfügung und den Zwangsanschluss ohnehin explizit verfügt, so dass diese - zusammen mit den Kosten von Fr. 450.-- für den Wiedererwägungsentscheid - auf jeden Fall Streitgegenstand bilden.</w:t>
      </w:r>
    </w:p>
    <w:p>
      <w:r>
        <w:rPr>
          <w:b/>
        </w:rPr>
        <w:t>E. 2.1</w:t>
      </w:r>
    </w:p>
    <w:p>
      <w:r>
        <w:t>Beschäftigt ein Arbeitgeber Arbeitnehmende, die obligatorisch zu versichern sind, muss er eine in das Register für die berufliche Vorsorge eingetragene Vorsorgeeinrichtung errichten oder sich einer solchen anschliessen (Art. 11 Abs. 1 BVG). Der Anschluss erfolgt jeweils rückwirkend auf das Datum des Stellenantrittes der zu versichernden Person (Art. 11 Abs. 3 BVG i.V.m. Art. 10 Abs. 1 BVG).</w:t>
      </w:r>
    </w:p>
    <w:p>
      <w:r>
        <w:rPr>
          <w:b/>
        </w:rPr>
        <w:t>E. 2.2.1</w:t>
      </w:r>
    </w:p>
    <w:p>
      <w:r>
        <w:t>Gemäss Art. 11 Abs. 4 BVG überprüft die Ausgleichskasse, ob die von ihr erfassten Arbeitgeber einer registrierten Vorsorgeeinrichtung angeschlossen sind. Der Arbeitgeber muss seiner AHV-Ausgleichskasse alle für die Überprüfung seines Anschlusses notwendigen Auskünfte erteilen (Art. 9 Abs. 1 der Verordnung vom 18. April 1984 über die berufliche Alters-, Hinterlassenen- und Invalidenvorsorge [BVV2, SR 831.441.1]) und ihr eine Bescheinigung seiner Vorsorgeeinrichtung zustellen, aus der hervorgeht, dass der Anschluss nach den Vorschriften des BVG erfolgt ist (Art. 9 Abs. 2, erster Satz BVV2).</w:t>
      </w:r>
    </w:p>
    <w:p>
      <w:r>
        <w:rPr>
          <w:b/>
        </w:rPr>
        <w:t>E. 2.2.2</w:t>
      </w:r>
    </w:p>
    <w:p>
      <w:r>
        <w:t>Sie fordert Arbeitgeber, die ihrer Anschlusspflicht nicht nachkommen, auf, sich innerhalb von zwei Monaten einer registrierten Vorsorgeeinrichtung anzuschliessen (Art. 11 Abs. 5 BVG). Kommt der Arbeitgeber der Aufforderung der Ausgleichskasse nicht fristgemäss nach, so meldet ihn diese der Auffangeinrichtung rückwirkend zum Anschluss (Art. 11 Abs. 6 BVG, vgl. auch Art. 9 Abs. 3 BVV2).</w:t>
      </w:r>
    </w:p>
    <w:p>
      <w:r>
        <w:rPr>
          <w:b/>
        </w:rPr>
        <w:t>E. 2.3</w:t>
      </w:r>
    </w:p>
    <w:p>
      <w:r>
        <w:t>Die Auffangeinrichtung ist eine Vorsorgeeinrichtung (Art. 60 Abs. 1 BVG) und verpflichtet, Arbeitgeber, die ihrer Anschlusspflicht nicht nachkommen, anzuschliessen (Art. 60 Abs. 2 Bst. a BVG). Gemäss Art. 60 Abs. 2bis BVG kann die Auffangeinrichtung zur Erfüllung dieser Aufgaben Verfügungen erlassen.</w:t>
      </w:r>
    </w:p>
    <w:p>
      <w:r>
        <w:rPr>
          <w:b/>
        </w:rPr>
        <w:t>E. 2.4</w:t>
      </w:r>
    </w:p>
    <w:p>
      <w:r>
        <w:t>Die Auffangeinrichtung stellt dem säumigen Arbeitgeber den von ihm verursachten Verwaltungsaufwand in Rechnung (vgl. Art. 11 Abs. 7 BVG). Der Arbeitgeber ist denn auch verpflichtet, der Auffangeinrichtung alle Aufwendungen zu ersetzen, die ihr in Zusammenhang mit seinem Anschluss entstehen (Art. 3 Abs. 4 der Verordnung vom 28. August 1985 über die Ansprüche der Auffangeinrichtung der beruflichen Vorsorge [SR 831.434]). Detailliert geregelt sind die entsprechenden Kosten im Kostenreglement der Auffangeinrichtung BVG (vorliegend in der seit 1. Januar 2018 geltenden Fassung). Was die darin für die Verfügung und Durchführung eines Zwangsanschlusses veranschlagten Kosten in der Höhe von insgesamt Fr. 825.-- betrifft, hat das Bundesverwaltungsgericht wiederholt entschieden, dass diese unter dem Blickwinkel des Kostendeckungs- und des Äquivalenzprinzips angemessen seien (Urteile des BVGer A-5849/2018 vom 11. April 2019 E. 3.3 sowie ausführlich A-6967/2016 vom 12. Mai 2017 E. 3.2 ff. m.w.H.).</w:t>
      </w:r>
    </w:p>
    <w:p>
      <w:r>
        <w:rPr>
          <w:b/>
        </w:rPr>
        <w:t>E. 3.1</w:t>
      </w:r>
    </w:p>
    <w:p>
      <w:r>
        <w:t>Im vorliegend zu beurteilenden Fall ist in tatsächlicher Hinsicht unbestritten, dass die betroffene Arbeitnehmende, B._______, in Bezug auf das Jahr 2017 nicht der BVG-Pflicht untersteht, da aufgrund des vom 1. September 2017 auf den 1. August 2017 korrigierten Eintrittsdatums neu ein hochgerechneter Jahreslohn von Fr. 17'280.-- resultiert. Dieses Jahresgehalt erreicht die Eintrittsschwelle der beruflichen Vorsorge in der Höhe von Fr. 21'150.-- nicht (Art. 5 BVV2 in der Fassung der Änderung vom 15. Oktober 2014, in Kraft seit dem 1. Januar 2015 [AS 2014 3343]) und muss folglich auch nicht versichert werden (vgl. zum Ganzen E. 1.2.2 hiervor).</w:t>
      </w:r>
    </w:p>
    <w:p>
      <w:r>
        <w:rPr>
          <w:b/>
        </w:rPr>
        <w:t>E. 3.2</w:t>
      </w:r>
    </w:p>
    <w:p>
      <w:r>
        <w:t>Strittig bleibt einzig die Kostenauflage (vgl. E. 1.2.2 hiervor). Eine Kostenauflage rechtfertigt sich dann, wenn der Zwangsanschluss im Zeitpunkt des Erlasses der Verfügung der Vorinstanz vom 22. Juli 2019 nach der damaligen Sachlage zu Recht angeordnet wurde (vgl. Urteile des BVGer A-2347/2018 vom 12. Juli 2018 S. 4, A-5030/2016 vom 16. November 2016 S. 3 f.). Entscheidend ist also, ob die Vorinstanz bereits vor oder erst nach Erlass der Zwangsanschlussverfügung rechtsgenügende Kenntnis davon hatte (oder hätte haben müssen), dass die betroffene Arbeitnehmende der Beschwerdeführerin im relevanten Zeitraum nicht berufsvorsorgeversichert sein musste. Wenn die Beschwerdeführerin die relevanten Beweismittel erst im Rahmen der Beschwerde an das Bundesverwaltungsgericht eingereicht hat, so hat sie die Kosten für die Zwangsanschlussverfügung sowie für die Wiedererwägungsverfügung verursacht und in der Folge auch zu tragen (vgl. Urteil des BVGer A-856/2018 vom 25. Oktober 2018 E. 3.2).</w:t>
      </w:r>
    </w:p>
    <w:p>
      <w:r>
        <w:rPr>
          <w:b/>
        </w:rPr>
        <w:t>E. 3.3</w:t>
      </w:r>
    </w:p>
    <w:p>
      <w:r>
        <w:t>Die Beschwerdeführerin selbst äusserte sich in ihrer Beschwerdeschrift an das Bundesverwaltungsgericht nur dahingehend, dass bei der Ausgleichskasse SVA Basel-Landschaft ein falsch notiertes Eintrittsdatum der betroffenen Arbeitnehmenden vorgelegen habe und legte erstmals den korrigierten Auszug aus dem individuellen Konto der betroffenen Arbeitnehmenden vor. In diesem ist anstelle des 1. September 2017 nunmehr der 1. August 2017 als Eintrittsdatum der Arbeitnehmenden aufgeführt. Es ist nicht aktenkundig, dass sich die Beschwerdeführerin bereits zu einem früheren Zeitpunkt bemüht hätte, eine Korrektur des vermerkten Eintrittsdatums zu erwirken oder zumindest auf das falsch vermerkte Eintrittsdatum hingewiesen hätte. In den von der Beschwerdeführerin gemachten Angaben gemäss Lohndeklaration zu Handen der Ausgleichskasse SVA Basel-Landschaft (Beilage Nr. 1 zur Vernehmlassung, ausgefüllte Lohnbescheinigung für das Jahr 2017) wurde denn auch eine Beschäftigungsdauer vom 1. September 2017 bis 31. Dezember 2017 festgehalten. Dasselbe gilt für das von der Beschwerdeführerin mehrfach bei der Vorinstanz eingereichte Lohnblatt für das Jahr 2017, etwa anlässlich ihrer Eingaben vom 6. April 2018 oder 17. Oktober 2018 (Beilage Nr. 5 zur Vernehmlassung, Lohnblatt 2017), welches ebenfalls eine Auflistung der Löhne der Arbeitnehmenden ab September 2017 - und nicht etwa ab August 2017 - ausweist und worin als Eintrittsdatum explizit der 1. September 2017 genannt wird. Nach dem Gesagten ergibt sich, dass das Vorbringen der Beschwerdeführerin betreffend das Eintrittsdatum der Arbeitnehmenden erst nach Erlass der Anschlussverfügung durch die Vorinstanz erfolgt ist. Somit hat die Beschwerdeführerin die durch die Zwangsanschlussverfügung und die Wiedererwägungsverfügung entstandenen Kosten zu verantworten und folglich auch zu tragen. Die Beschwerde ist damit abzuweisen, soweit das Verfahren nicht als durch Wiedererwägung gegenstandslos geworden abzuschreiben ist.</w:t>
      </w:r>
    </w:p>
    <w:p>
      <w:r>
        <w:rPr>
          <w:b/>
        </w:rPr>
        <w:t>E. 4.1</w:t>
      </w:r>
    </w:p>
    <w:p>
      <w:r>
        <w:t>Ausgangsgemäss sind die Verfahrenskosten der Beschwerdeführerin aufzuerlegen (Art. 63 Abs. 1 VwVG). Weil sich das Verfahren aufgrund der vorinstanzlichen Wiedererwägung mit geringerem als dem erwarteten Aufwand erledigen lässt (vgl. Art. 6 Bst. a des Reglements vom 21. Februar 2008 über die Kosten und Entschädigungen vor dem Bundesverwaltungsgericht [VGKE; SR 173.320.2]), erscheint es angemessen, die Kosten für das Bundesverwaltungsgericht auf Fr. 500.-- festzusetzen. Dieser Betrag ist dem in der Höhe von Fr. 800.-- geleisteten Kostenvorschuss zu entnehmen. Der Restbetrag von 300.-- ist der Beschwerdeführerin nach Eintritt der Rechtskraft des vorliegenden Entscheids zurückzuerstatten.</w:t>
      </w:r>
    </w:p>
    <w:p>
      <w:r>
        <w:rPr>
          <w:b/>
        </w:rPr>
        <w:t>E. 4.2</w:t>
      </w:r>
    </w:p>
    <w:p>
      <w:r>
        <w:t>Weder der unterliegenden Beschwerdeführerin noch der Vorinstanz ist eine Parteientschädigung zuzusprechen (Art. 64 Abs. 1 VwVG e contrario und Art. 7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