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A-4041/2015 vom 8. März 2016</w:t>
      </w:r>
    </w:p>
    <w:p>
      <w:r>
        <w:t>Bundesverwaltungsgericht, 2016-03-08, DE</w:t>
      </w:r>
    </w:p>
    <w:p>
      <w:r>
        <w:rPr>
          <w:b/>
        </w:rPr>
        <w:t xml:space="preserve">Quelle: </w:t>
      </w:r>
      <w:r>
        <w:t>https://mcp.opencaselaw.ch/entscheid/bvger_A-4041_2015</w:t>
      </w:r>
    </w:p>
    <w:p>
      <w:r>
        <w:t>FR: TAF A-4041/2015 du 8 mars 2016</w:t>
      </w:r>
    </w:p>
    <w:p>
      <w:r>
        <w:t>IT: TAF A-4041/2015 del 8 marzo 2016</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des ESTI zuständig (Art. 23 des Elektrizitätsgesetzes vom 24. Juni 1902 [EleG, SR 734.0] und Art. 31 ff. des Verwaltungsgerichtsgesetzes vom 17. Juni 2005 [VGG, SR 173.32]).</w:t>
      </w:r>
    </w:p>
    <w:p>
      <w:r>
        <w:rPr>
          <w:b/>
        </w:rPr>
        <w:t>E. 1.2</w:t>
      </w:r>
    </w:p>
    <w:p>
      <w:r>
        <w:t>Der Beschwerdeführer ist Adressat der angefochtenen Verfügung und durch diese besonders berührt. Er ist damit nach Art. 48 Abs. 1 des Verwaltungsverfahrensgesetzes vom 20. Dezember 1968 (VwVG, SR 172.021) zur Beschwerde berechtigt.</w:t>
      </w:r>
    </w:p>
    <w:p>
      <w:r>
        <w:rPr>
          <w:b/>
        </w:rPr>
        <w:t>E. 1.3</w:t>
      </w:r>
    </w:p>
    <w:p>
      <w:r>
        <w:t>Auf die im Übrigen frist- und formgerecht eingereichte Beschwerde (Art. 50 Abs. 1 und Art. 52 Abs.1 VwVG) ist demnach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w:t>
      </w:r>
    </w:p>
    <w:p>
      <w:r>
        <w:rPr>
          <w:b/>
        </w:rPr>
        <w:t>E. 3</w:t>
      </w:r>
    </w:p>
    <w:p>
      <w:r>
        <w:t>Der Betriebsinhaber (Eigentümer, Pächter) ist für die Beaufsichtigung der elektrischen Anlagen und die Überwachung ihres guten Zustands verantwortlich (Art. 20 Abs. 1 EleG). Der Eigentümer oder der von ihm bezeichnete Vertreter sorgt dafür, dass die elektrischen Installationen stets den gesetzlichen Anforderungen genügen; er muss auf Verlangen den entsprechenden Sicherheitsnachweis erbringen (Art. 5 Abs. 1 der Niederspannungs-Installationsverordnung vom 7. November 2001 [NIV, SR 734.27]). Die Durchführung der technischen Kontrollen und die Ausstellung der entsprechenden Sicherheitsnachweise erfolgen durch unabhängige Kontrollorgane und akkreditierte Inspektionsstellen im Auftrag der Eigentümer der elektrischen Installationen (Art. 32 Abs. 1 NIV). Im Zusammenhang mit den periodischen Nachweisen der Sicherheit fordern die Netzbetreiberinnen die Eigentümer, deren elektrische Installationen aus ihrem Niederspannungsverteilnetz versorgt werden, mindestens sechs Monate vor Ablauf der Kontrollperiode schriftlich auf, den Sicherheitsnachweis nach Art. 37 NIV bis zum Ende der Kontrollperiode einzureichen (Art. 36 Abs. 1 NIV). Diese Frist kann bis längstens ein Jahr nach Ablauf der festgelegten Periode verlängert werden. Wird der Sicherheitsnachweis trotz zweimaliger Mahnung nicht innerhalb der festgesetzten Frist eingereicht, übergibt die Netzbetreiberin der Vorinstanz die Durchsetzung der periodischen Kontrolle (Art. 36 Abs. 3 NIV).</w:t>
      </w:r>
    </w:p>
    <w:p>
      <w:r>
        <w:rPr>
          <w:b/>
        </w:rPr>
        <w:t>E. 4.1</w:t>
      </w:r>
    </w:p>
    <w:p>
      <w:r>
        <w:t>Der Beschwerdeführer ist Eigentümer der mit elektrischen Niederspannungsinstallationen ausgestatteten Liegenschaft (...). Der Beschwerdeführer stellt die Verpflichtung, als Eigentümer einer Liegenschaft einen Sicherheitsnachweis erbringen zu müssen, nicht in Frage. Die Netzbetreiberin hatte den Beschwerdeführer unbestrittenermassen am 14. Februar 2011 aufgefordert, einen Sicherheitsnachweis einzureichen. Nachdem der Beschwerdeführer den Sicherheitsnachweis trotz zweimaliger Mahnung nicht eingereicht hatte, übergab die Netzbetreiberin die Angelegenheit mit Schreiben vom 19. Januar 2015 der Vorinstanz zur Durchsetzung. Die formellen Voraussetzungen für die Übergabe der Angelegenheit an die Vorinstanz (Aufforderung und zweimalige Mahnung) sind vorliegend erfüllt. Weiter blieb die mit Schreiben der Vorinstanz vom 21. Januar 2015 angesetzte Frist ungenutzt. Der Beschwerdeführer liess zwar die im Kontrollbericht vom 4. Mai 2012 festgestellten Mängel am 6. Mai 2014 beheben. Dies ändert aber nichts am Umstand, dass der Sicherheitsnachweis bei der Netzbetreiberin erst am 12. Juni 2015 und somit nach Erlass der angefochtenen Verfügung einging. Seiner Verantwortung als Grundeigentümer kann sich der Beschwerdeführer nicht mit Verweis auf ein Fehlverhalten des mit der Mängelbehebung beauftragten Elektrounternehmens resp. des mit der Ausstellung des Sicherheitsnachweises beauftragten Kontrollorgans entziehen. Ein solches könnte allenfalls zivilrechtliche Ansprüche des Beschwerdeführers begründen, seine öffentlich-rechtliche Verpflichtung, den Sicherheitsnachweis fristgerecht zu erbringen, bleibt davon indes unberührt (vgl. Urteile des Bundesverwaltungsgerichts A 7587/2014 vom 13. April 2015 E. 3.3, A-7079/2014 vom 12. Februar 2015 E. 3.2, A 3145/2013 vom 18. September 2013 E. 4.2 und A-6259/2012 vom 22. April 2013 E. 3.3). Die Vorinstanz hat daher die angedrohte kostenpflichtige Verfügung vom 3. Juni 2015 zu Recht erlassen.</w:t>
      </w:r>
    </w:p>
    <w:p>
      <w:r>
        <w:rPr>
          <w:b/>
        </w:rPr>
        <w:t>E. 4.2</w:t>
      </w:r>
    </w:p>
    <w:p>
      <w:r>
        <w:t>Damit ist die dem Beschwerdeführer auferlegte Gebühr dem Grundsatz nach nicht zu beanstanden. Zu prüfen bleibt deren Höhe. Betreffend die Höhe der Gebühr verweist Art. 41 NIV auf Art. 9 und 10 der Verordnung vom 7. Dezember 1992 über das Eidgenössische Starkstrominspektorat (Vo ESTI, SR 734.24). Danach betragen die Gebühren für den Erlass einer Verfügung höchstens Fr. 3'000.-- und sind nach dem tatsächlich entstandenen Aufwand zu bemessen (Art. 9 Abs. 1 Vo ESTI). Innerhalb des von der Vo ESTI vorgegebenen Gebührenrahmens kommt der Vorinstanz ein erheblicher Ermessensspielraum zu (vgl. statt vieler Urteile des Bundesverwaltungsgerichts A-7587/2014 vom 13. April 2015 E. 3.5.1). Die dem Beschwerdeführer auferlegte Gebühr von Fr. 600.-- bewegt sich im unteren Bereich der vorgegebenen Bandbreite. Die Vorinstanz hatte bei der Bearbeitung der Angelegenheit einigen Aufwand zu betreiben. So war das von der Netzbetreiberin überwiesene Dossier zu prüfen, eine Nachfrist anzusetzen, die Einhaltung der Frist zu kontrollieren und schliesslich eine anfechtbare Verfügung zu erlassen. In Anbetracht dieses Aufwands erscheint eine Gebühr von Fr. 600.-- für den Erlass der angefochtenen Verfügung als angemessen. Die Gebühr ist somit auch der Höhe nach nicht zu beanstanden.</w:t>
      </w:r>
    </w:p>
    <w:p>
      <w:r>
        <w:rPr>
          <w:b/>
        </w:rPr>
        <w:t>E. 5</w:t>
      </w:r>
    </w:p>
    <w:p>
      <w:r>
        <w:t>Die Beschwerde erweist sich demnach als unbegründet und ist abzuweisen.</w:t>
      </w:r>
    </w:p>
    <w:p>
      <w:r>
        <w:rPr>
          <w:b/>
        </w:rPr>
        <w:t>E. 6.1</w:t>
      </w:r>
    </w:p>
    <w:p>
      <w:r>
        <w:t>Bei diesem Ausgang des Verfahrens gilt der Beschwerdeführer als vollständig unterliegend, weshalb er die Verfahrenskosten von Fr. 800.-- zu tragen hat (Art. 63 Abs. 1 VwVG; Art. 1 ff. des Reglements vom 21. Februar 2008 über die Kosten und Entschädigungen vor dem Bundesverwaltungsgericht [VGKE, SR 173.320.2]). Dieser Betrag wird dem Kostenvorschuss von 1'000.-- entnommen. Der Restbetrag von Fr. 200.-- wird dem Beschwerdeführer nach Eintritt der Rechtskraft des Urteils zurückerstattet.</w:t>
      </w:r>
    </w:p>
    <w:p>
      <w:r>
        <w:rPr>
          <w:b/>
        </w:rPr>
        <w:t>E. 6.2</w:t>
      </w:r>
    </w:p>
    <w:p>
      <w:r>
        <w:t>Angesichts seines Unterliegens steht dem Beschwerdeführer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