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A-4000/2012 vom 14. Juli 2014</w:t>
      </w:r>
    </w:p>
    <w:p>
      <w:r>
        <w:t>Bundesverwaltungsgericht, 2014-07-14, DE</w:t>
      </w:r>
    </w:p>
    <w:p>
      <w:r>
        <w:rPr>
          <w:b/>
        </w:rPr>
        <w:t xml:space="preserve">Quelle: </w:t>
      </w:r>
      <w:r>
        <w:t>https://mcp.opencaselaw.ch/entscheid/bvger_A-4000_2012</w:t>
      </w:r>
    </w:p>
    <w:p>
      <w:r>
        <w:t>FR: TAF A-4000/2012 du 14 juillet 2014</w:t>
      </w:r>
    </w:p>
    <w:p>
      <w:r>
        <w:t>IT: TAF A-4000/2012 del 14 luglio 2014</w:t>
      </w:r>
    </w:p>
    <w:p>
      <w:pPr>
        <w:pStyle w:val="Heading2"/>
      </w:pPr>
      <w:r>
        <w:t>Regeste</w:t>
      </w:r>
    </w:p>
    <w:p>
      <w:r>
        <w:t>Rentenanspruch</w:t>
      </w:r>
    </w:p>
    <w:p>
      <w:pPr>
        <w:pStyle w:val="Heading2"/>
      </w:pPr>
      <w:r>
        <w:t>Erwägungen</w:t>
      </w:r>
    </w:p>
    <w:p>
      <w:r>
        <w:rPr>
          <w:b/>
        </w:rPr>
        <w:t>E. 1.1</w:t>
      </w:r>
    </w:p>
    <w:p>
      <w:r>
        <w:t>Gemäss Art. 31 VGG beurteilt das Bundesverwaltungsgericht Beschwerden gegen Verfügungen nach Art. 5 VwVG. Zu den anfechtbaren Verfügungen gehören jene der IVSTA, die zu den Vorinstanzen des Bundesverwaltungsgerichts gehört (Art. 33 Bst. d VGG; vgl. auch Art. 69 Abs. 1 Bst. b IVG).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Zusammenfassend ergibt sich, dass sämtliche Prozessvoraussetzungen erfüllt sind, weshalb auf die Beschwerde einzutreten ist.</w:t>
      </w:r>
    </w:p>
    <w:p>
      <w:r>
        <w:rPr>
          <w:b/>
        </w:rPr>
        <w:t>E. 1.4</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C­4000/2012 wurde daher auf A-4000/2012 geändert.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BGE 126 V 353 E. 5b, BGE 125 V 193 E. 2, je mit Hinweisen).</w:t>
      </w:r>
    </w:p>
    <w:p>
      <w:r>
        <w:rPr>
          <w:b/>
        </w:rPr>
        <w:t>E. 1.7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Entscheid des Eidgenössischen Versicherungsgerichts I 520/99 vom 20. Juli 2000).</w:t>
      </w:r>
    </w:p>
    <w:p>
      <w:r>
        <w:rPr>
          <w:b/>
        </w:rPr>
        <w:t>E. 2.1</w:t>
      </w:r>
    </w:p>
    <w:p>
      <w:r>
        <w:t>Der Beschwerdeführer ist serbischer Staatsangehöriger und wohnt in Serbien.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und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Die Schweiz handelt zurzeit mit Serbien ein Sozialversicherungsabkommen aus, wobei hinsichtlich des Inkrafttretens noch keine Angaben möglich sind. Bis zum Inkrafttreten dieser neuen Abkommen ist weiterhin das vorstehend erwähnte bisherige Abkommen zwischen der Schweizerischen Eidgenossenschaft und der Föderativen Volksrepublik Jugoslawien über Sozialversicherung vom 8. Juni 1962 anwendbar (vgl. Urteil des Bundesgerichts 8C_321/2012 vom 14. August 2012 E. 1.2; BGE 126 V 198 E. 2b und 122 V 381 E. 1 mit Hinweisen). Nach Art. 2 dieses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vorliegend alleine auf Grund der schweizerischen Rechtsvorschriften, d.h. auf Grund des IVG, der Verordnung vom 17. Januar 1961 über die Invalidenversicherung (IVV; SR 832.201), des ATSG sowie der Verordnung vom 11. September 2002 über den Allgemeinen Teil des Sozialversicherungsrechts (ATSV; SR 830.11).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i.S. D.; zum Grundsatz der freien Beweiswürdigung: BGE 125 V 351 E. 3a; Urteil des Bundesverwaltungsgerichts C-662/2010 vom 19. Dezember 2012 E. 4.1).</w:t>
      </w:r>
    </w:p>
    <w:p>
      <w:r>
        <w:rPr>
          <w:b/>
        </w:rPr>
        <w:t>E. 2.2</w:t>
      </w:r>
    </w:p>
    <w:p>
      <w:r>
        <w:t>In zeitlicher Hinsicht ist zunächst festzuhalten, dass Rechts- und Sachverhaltsänderungen, die nach dem massgebenden Zeitpunkt des Erlasses der streitigen Verfügung (hier: 19. Juni 2012) eintraten, im vorliegenden Verfahren grundsätzlich nicht zu berücksichtigen sind (vgl. BGE 130 V 329, BGE 130 V 138 E. 2.1, BGE 121 V 362 E. 1b sowie BGE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138 V 475 E. 3.1, BGE 121 V 362 E. 1b). In zeitlicher Hinsicht sind daher grundsätzlich diejenigen materiellen Rechtssätze massgebend, die bei der Erfüllung des rechtlich zu ordnenden oder zu Rechtsfolgen führenden Tatbestandes Geltung hatten (BGE 132 V 215 E. 3.1.1). Dabei ist ein allfälliger Leistungsanspruch für die Zeit vor einem Rechtswechsel aufgrund der bisherigen sowie ab diesem Zeitpunkt nach den neuen Normen zu prüfen (pro rata temporis; BGE 130 V 445).</w:t>
      </w:r>
    </w:p>
    <w:p>
      <w:r>
        <w:rPr>
          <w:b/>
        </w:rPr>
        <w:t>E. 2.3</w:t>
      </w:r>
    </w:p>
    <w:p>
      <w:r>
        <w:t>Im vorliegenden Verfahren finden demnach grundsätzlich jene schweizerischen Rechtsvorschriften Anwendung, die bei Erlass der angefochtenen Verfügung vom 19. Juni 2012 in Kraft standen; weiter aber auch alle übrigen Vorschriften, die für die Beurteilung der streitigen Verfügung im vorliegend massgeblichen Zeitraum von Belang sind. Da sich der allenfalls anspruchsbegründende Sachverhalt mutmasslich im Zeitraum 29. Januar 2010 (Zeitpunkt des Leistungsgesuchs beim serbischen Versicherungsträger) bis 19. Juni 2012 (Erlass der angefochtenen Verfügung) zugetragen hat, ist vorliegend entsprechend grundsätzlich auf die materiellen Bestimmungen des IVG und der IVV in der Fassung gemäss den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ATSV in der am 1. Januar 2008 (5. IV-Revision, AS 2007 5129 bzw. AS 2007 5155) bzw. - soweit einschlägig - am 1. Januar 2012 (IV-Revision 6a, AS 2011 5659 bzw. AS 2011 5679) in Kraft getretenen Fassungen anwendbar.</w:t>
      </w:r>
    </w:p>
    <w:p>
      <w:r>
        <w:rPr>
          <w:b/>
        </w:rPr>
        <w:t>E. 2.4</w:t>
      </w:r>
    </w:p>
    <w:p>
      <w:r>
        <w:t>Anspruch auf eine Rente der schweizerischen Invalidenversicherung hat, wer invalid im Sinne des Gesetzes ist (Art. 7, 8, 16 ATSG; Art. 4, 28, 28a, 29 IVG) und beim Versicherungsfall während mindestens dreier Jahre (Art. 36 Abs. 1 IVG) Beiträge an die Alters-, Hinterlassenen- und Invalidenversicherung geleistet hat. Diese zwei Bedingungen müssen kumulativ erfüllt sein.</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w:t>
      </w:r>
    </w:p>
    <w:p>
      <w:r>
        <w:rPr>
          <w:b/>
        </w:rPr>
        <w:t>E. 2.6</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2.7</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115 V 133 E. 2; AHI-Praxis 2002 S. 62 E. 4b/cc).</w:t>
      </w:r>
    </w:p>
    <w:p>
      <w:r>
        <w:rPr>
          <w:b/>
        </w:rPr>
        <w:t>E. 2.9</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Ausschlaggebend für den Beweiswert ist grundsätzlich somit weder die Herkunft eines Beweismittels noch die Bezeichnung der eingereichten oder in Auftrag gegebenen Stellungnahme als Bericht oder Gutachten (BGE 125 V 351 E. 3a).</w:t>
      </w:r>
    </w:p>
    <w:p>
      <w:r>
        <w:rPr>
          <w:b/>
        </w:rPr>
        <w:t>E. 2.10</w:t>
      </w:r>
    </w:p>
    <w:p>
      <w:r>
        <w:t>Nach der Rechtsprechung kann auf Stellungnahmen der RAD abgestellt werden, wenn sie den allgemeinen beweisrechtlichen Anforderungen an einen ärztlichen Bericht genügen (vgl. dazu E. 2.9).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Stellungnahmen der RAD im Beschwerdefall gerichtlich überprüfbar (zum Ganzen: Urteile des Bundesgerichts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2.11</w:t>
      </w:r>
    </w:p>
    <w:p>
      <w:r>
        <w:t>Auf einen Aktenbericht eines RAD kann somit nur - aber immerhin - abgestellt werden, wenn die Akten zum Entscheidzeitpunkt ein vollständiges Bild über Anamnese, Verlauf und gegenwärtigen Status ergeben und diese Daten unbestritten sind (vgl. Urteile des Bundesgerichts 8C_653/2009 vom 28. Oktober 2009 E. 5.2 und I 1094/06 vom 14. November 2007 E. 3.1.1).</w:t>
      </w:r>
    </w:p>
    <w:p>
      <w:r>
        <w:rPr>
          <w:b/>
        </w:rPr>
        <w:t>E. 3.1</w:t>
      </w:r>
    </w:p>
    <w:p>
      <w:r>
        <w:t>Vorliegend ist unstreitig, dass der Beschwerdeführer Anspruch auf eine ganze Invalidenrente für die Zeit vom 1. Dezember 2010 bis zum 31. Januar 2012 hatte. Auch die Berechnung und die Höhe der für diesen Zeitraum gesprochenen Invalidenrente liegt nicht im Streit. Streitig und zu prüfen ist vorliegend somit einzig, ob die seitens der Vorinstanz am 19. Juni 2012 verfügte zeitliche Beschränkung des Rentenanspruchs des Beschwerdeführers auf die Zeit vom 1. Dezember 2010 bis zum 31. Januar 2012 zu Recht erfolgt ist.</w:t>
      </w:r>
    </w:p>
    <w:p>
      <w:r>
        <w:rPr>
          <w:b/>
        </w:rPr>
        <w:t>E. 3.2</w:t>
      </w:r>
    </w:p>
    <w:p>
      <w:r>
        <w:t>Die IVSTA stützt sich bei der Begründung ihrer Verfügung vom 19. Juni 2012 auf die Beurteilung des RAD-Arztes Z. _______. Als Facharzt für Allgemeinmedizin FMH und zertifizierter medizinischer Gutachter SIM verfügt er über die gefragten Qualifikationen (E. 2.10). Die Schlussberichte von Z. _______ stützen sich allein auf die in den Akten vorhandenen medizinischen Berichte aus Serbien und sind somit reine Aktenberichte im Sinne von Art. 49 Abs. 1 IVV. Dies allein genügt - wie bereits dargestellt (E. 2.10) - nicht, um die Schlussberichte an sich in Frage zu stellen. Auf einen Aktenbericht darf aber nur abgestellt werden, wenn die Akten zum Entscheidzeitpunkt ein vollständiges Bild über Anamnese, Verlauf und gegenwärtigen Status ergeben und diese Daten unbestritten sind (E. 2.11). Nachfolgend ist zu prüfen, ob diese Voraussetzungen im vorliegenden Fall erfüllt sind.</w:t>
      </w:r>
    </w:p>
    <w:p>
      <w:r>
        <w:rPr>
          <w:b/>
        </w:rPr>
        <w:t>E. 3.3</w:t>
      </w:r>
    </w:p>
    <w:p>
      <w:r>
        <w:t>In seinem ersten Schlussbericht vom 14. Dezember 2011 ([...]; vgl. oben Sachverhalt D), der durch die beiden weiteren Schlussberichte vom 27. April 2012 ([...]; vgl. oben Sachverhalt G) bzw. vom 24. Januar 2013 (vgl. oben Sachverhalt L) inhaltlich nur unwesentlich verändert wurde, äussert sich der RAD-Arzt Z._______ zunächst umfassend zur medizinischen Vorgeschichte (Anamnese) des Beschwerdeführers im Zeitraum vom September 2009 bis zum 4. Oktober 2011. Es bestehen keine Hinweise, dass die Anamnese unvollständig ist. Gegenteiliges wird auch vom Beschwerdeführer nicht geltend gemacht. Weiter listet der RAD-Arzt die diagnostizierten Krankheitsbilder auf, die Auswirkungen auf die Arbeitsfähigkeit des Beschwerdeführers haben. Hierzu gehöre eine bilaterale Cervicobrachialgie aufgrund einer Discophatie "C4-C" (Bandscheibenschaden) und eines "canal cervical étroit" (Zervikale Myelopathie), ein Lungenemphysem und der Gesundheitszustand nach dem chirurgischen Eingriff wegen eines bösartigen kolorektalen Tumors. Keine Auswirkungen auf die Arbeitsfähigkeit hätten die festgestellte arterielle Hypertonie (Bluthochdruck), das im Jahr 2009 aufgetretene Magengeschwür und der Gesundheitszustand nach einer Thrombophlebitis (akute Thrombose und Entzündung von oberflächlichen Venen) der unteren linken Extremitäten im Mai 2011. Der RAD-Arzt stützt sich in seiner Beurteilung in erster Linie auf ein Gutachten von R._______, Chirurgin des Republikfonds der Renten- und Invalidenversicherung in Serbien ([...]). Nach Einsicht in die medizinische Befunddokumentation und nach einer Untersuchung des Beschwerdeführers am 20. April 2010 kam die Chirurgin zum Schluss, es liege kein voller Verlust der Arbeitsfähigkeit vor. Der Versicherte sei aber von Tätigkeiten, die Heben und Tragen von Lasten von über 7kg, längeres Stehen und Gehen sowie Zwangshaltungen erfordern, zu befreien. Der Invaliditätsgrad betrage 60%. Auf Grundlage der eben beschriebenen, in das Ergebnis miteinzubeziehenden Krankheitsbilder kommt der RAD-Arzt weiter zum Schluss, es liege eine dauernde volle Arbeitsunfähigkeit in der zuletzt ausgeübten Tätigkeit als Gerüstbauer vor. Vom 28. Oktober 2010 bis zum 4. Oktober 2011 sei der Beschwerdeführer auch in einer angepassten Tätigkeit nicht arbeitsfähig gewesen. Ab dem 5. Oktober 2011 sei jedoch aufgrund des positiven Heilungsprozesses bezüglich des kolorektalen Karzinoms eine leidensangepasste leichte Verweisungstätigkeit möglich. Dabei seien aber aufgrund einer Radikulopathie (Reizung oder Schädigung der Nervenwurzeln) gewisse funktionelle Beschränkungen zu beachten. So brauche der Beschwerdeführer regelmässige Pausen, sollte abwechselnd in verschiedenen Körperpositionen (stehend - sitzend) arbeiten, dürfe maximal 10kg tragen und sei von schweren Arbeiten ausgeschlossen. Zudem dürfe er die oberen Extremitäten nicht in repetitiver Art und Weise über die Horizontale bewegen. Der RAD-Arzt stützt sich in Bezug auf seine Schlussfolgerung, dass ab dem 5. Oktober 2011 eine angepasste Verweisungstätigkeit möglich sei, auf den Bericht von Y. _______ vom 7. Juli 2011 ([...], fälschlicherweise datiert auf den 4. Oktober 2011). Diesem ist zu entnehmen, dass der Beschwerdeführer sechs Monate nach der Resektion (operative Entfernung des kolorektalen Tumors) zur Nachuntersuchung erschienen sei. Der Beschwerdeführer habe sich gut gefühlt und normalen Stuhlgang gehabt. Die Echografie (Sonografie) sei unauffällig gewesen. Eine weitere Untersuchung werde in sechs Monaten stattfinden. Da also gemäss dem Bericht vom 4. Oktober 2011 in Bezug auf das kolorektale Karzinom eine gute Heilungsprognose bestehe, rechtfertige sich - so der RAD-Arzt - die Annahme einer vollen Arbeitsunfähigkeit ab dem 5. Oktober 2011 nicht mehr.</w:t>
      </w:r>
    </w:p>
    <w:p>
      <w:r>
        <w:rPr>
          <w:b/>
        </w:rPr>
        <w:t>E. 3.4</w:t>
      </w:r>
    </w:p>
    <w:p>
      <w:r>
        <w:t>Hinsichtlich des Beweiswerts dieser medizinischen Berichte ist zunächst entscheidend, ob der Bericht für die streitigen Belange umfassend ist, auf allseitigen Untersuchungen beruht, in Kenntnis der Vorakten (Anamnese) abgegeben worden ist, in der Beurteilung der medizinischen Zusammenhänge und in der Beurteilung der medizinischen Situation einleuchtet und ob die Schlussfolgerungen des Experten begründet sind (E. 2.9). Sodann kann auf den Aktenbericht des RAD nur - aber immerhin - abgestellt werden, wenn auch die Akten zum Entscheidzeitpunkt ein vollständiges Bild über Anamnese, Verlauf und gegenwärtigen Status ergeben und diese Daten unbestritten sind (E. 2.11). Diese Voraussetzungen sind vorliegend gegeben. Den Akten liegen - wie dargestellt (E. 3.3) - offensichtlich eingehende und sich deckende Untersuchungen von verschiedenen Ärzten in Serbien zu Grunde. Der Bericht des RAD-Arztes stellt auf die Berichte und Gutachten dieser serbischen Ärzte ab. Es ergeben sich lediglich Unterschiede in Bezug auf den festgestellten Invaliditätsgrad und das maximal tragbare Gewicht, die aber keine Auswirkungen auf die vorliegend streitige Frage nach der Dauer der vollständigen Arbeitsunfähigkeit haben.</w:t>
      </w:r>
    </w:p>
    <w:p>
      <w:r>
        <w:rPr>
          <w:b/>
        </w:rPr>
        <w:t>E. 3.5</w:t>
      </w:r>
    </w:p>
    <w:p>
      <w:r>
        <w:t>Was der Beschwerdeführer dagegen vorbringt, vermag nicht zu überzeugen. In seiner Beschwerde vom 19. Juni 2012 macht er zwar geltend, die IVSTA hätte den Sachverhalt falsch oder unvollständig festgestellt, bestätigt aber gleichzeitig die Befunde der ärztlichen Berichte, die der angefochtenen Verfügung der IVSTA zugrundeliegen (vgl. E. 3.3). Die von ihm in der Beschwerde geltend gemachten Krankheitsbilder decken sich nämlich mit denjenigen, welche die IVSTA und der RAD-Arzt für ihre Beurteilung herangezogen haben. Die Behauptung, sein Gesundheitszustand verschlechtere sich "ständig und konstant", vermag er nicht rechtsgenüglich darzutun. Obwohl der nachträglich beigebrachte ärztliche Bericht von W._______ vom 16. November 2012 und die ärztlichen Berichte aus dem Jahr 2013 (beigebracht mit den Eingaben vom 30. September 2013 und vom 23. Dezember 2013; vgl. Sachverhalt M) für die Beurteilung der Rechtmässigkeit der Verfügung im Beurteilungszeitpunkt (19. Juni 2012) grundsätzlich nicht von Relevanz sind (E. 2.2), liess die IVSTA den ärztlichen Bericht von W._______ vom 16. November 2012 durch den RAD-Arzt prüfen. Dieser kam in seinem dritten Schlussbericht vom 24. Januar 2013 zum Schluss, auch der ärztliche Bericht von W._______ habe keine Auswirkungen auf die bisherigen Erkenntnisse (vgl. oben Sachverhalt L). Entgegen den Vorbringen des Beschwerdeführers wurde somit der entscheidrelevante Sachverhalt durch die IVSTA ausreichend festgestellt (E. 1.7). Die Schlussfolgerungen des RAD-Arztes sind hinreichend begründet und die Beurteilung der gesundheitlichen Situation des Beschwerdeführers und deren Auswirkungen auf die Arbeitsfähigkeit durchaus einleuchtend und nachvollziehbar.</w:t>
      </w:r>
    </w:p>
    <w:p>
      <w:r>
        <w:rPr>
          <w:b/>
        </w:rPr>
        <w:t>E. 3.6</w:t>
      </w:r>
    </w:p>
    <w:p>
      <w:r>
        <w:t>Der Beschwerdeführer rügt weiter, die IVSTA habe das Recht nicht richtig auf den vorliegenden Sachverhalt angewandt. Er vermag aber in seinen Eingaben an das Bundesverwaltungsgericht keine konkrete falsche Rechtsanwendung zu bezeichnen, sondern äussert lediglich rein appellatorische Kritik an der angefochtenen Verfügung. Eine falsche Rechtsanwendung durch die Vorinstanz ist denn auch nicht erkennbar.</w:t>
      </w:r>
    </w:p>
    <w:p>
      <w:r>
        <w:rPr>
          <w:b/>
        </w:rPr>
        <w:t>E. 3.7</w:t>
      </w:r>
    </w:p>
    <w:p>
      <w:r>
        <w:t>Nach dem Ausgeführten ist es somit aufgrund der Aktenlage möglich, mit dem im Sozialversicherungsrecht erforderlichen Beweisgrad der überwiegenden Wahrscheinlichkeit (E. 1.6) zu beurteilen, ab welchem und bis zu welchem Datum, in welcher Höhe und in welchem Umfang der Beschwerdeführer Anspruch auf eine Invalidenrente hat. Die diesbezüglichen Schlussfolgerungen der IVSTA, wonach der Beschwerdeführer ab dem 5. Oktober 2011 in einer leichteren, leidensangepassten Tätigkeit arbeitsfähig ist, sind dementsprechend vom Bundesverwaltungsgericht nicht in Frage zu stellen. Die angefochtene Verfügung vom 19. Juni 2012 erweist sich somit als rechtmässig und die Beschwerde ist abzuweisen.</w:t>
      </w:r>
    </w:p>
    <w:p>
      <w:r>
        <w:rPr>
          <w:b/>
        </w:rPr>
        <w:t>E. 4.1</w:t>
      </w:r>
    </w:p>
    <w:p>
      <w:r>
        <w:t>Gemäss Art. 69 Abs. 1bis in Verbindung mit Art. 69 Abs. 2 IVG (in der seit dem 1. Juli 2006 gültigen Fassung) ist das Beschwerdeverfahren bei Streitigkeiten um die Bewilligung oder die Verweigerung von IV-Leistun-gen vor dem Bundesverwaltungsgericht kostenpflichtig. Entsprechend dem Ausgang des Verfahrens hat der Beschwerdeführer die Verfahrenskosten zu tragen (Art. 63 Abs. 1 VwVG). Diese werden auf Fr. 400.-- festgesetzt (vgl. u.a. Art. 4 des Reglements vom 21. Februar 2008 über die Kosten und Entschädigungen vor dem Bundesverwaltungsgericht [VGKE, SR 173.320.2]). Der vom Beschwerdeführer einbezahlte Kostenvorschuss in der Höhe von ebenfalls Fr. 400.-- ist zur Bezahlung der Verfahrenskosten zu verwenden.</w:t>
      </w:r>
    </w:p>
    <w:p>
      <w:r>
        <w:rPr>
          <w:b/>
        </w:rPr>
        <w:t>E. 4.2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Dem unterliegenden Beschwerdeführer ist entsprechend dem Verfahrensausgang ebenfalls keine Parteientschädigung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