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A-3997/2011 vom 13. September 2011</w:t>
      </w:r>
    </w:p>
    <w:p>
      <w:r>
        <w:t>Bundesverwaltungsgericht, 2011-09-13, DE</w:t>
      </w:r>
    </w:p>
    <w:p>
      <w:r>
        <w:rPr>
          <w:b/>
        </w:rPr>
        <w:t xml:space="preserve">Quelle: </w:t>
      </w:r>
      <w:r>
        <w:t>https://mcp.opencaselaw.ch/entscheid/bvger_A-3997_2011</w:t>
      </w:r>
    </w:p>
    <w:p>
      <w:r>
        <w:t>FR: TAF A-3997/2011 du 13 septembre 2011</w:t>
      </w:r>
    </w:p>
    <w:p>
      <w:r>
        <w:t>IT: TAF A-3997/2011 del 13 settembre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Bundesverwaltungsgerichts. Eine Ausnahme, was das Sachgebiet angeht, ist nicht gegeben (Art. 32 VGG). Demnach ist das Bundesverwaltungsgericht für die Beurteilung der am 13. Juli 2011 erhobenen Beschwerde zuständig (vgl. auch Art. 23 des Bundesgesetzes über die Stromversorgung vom 23. März 2007 [Stromversorgungsgesetz, StromVG, SR 734.7]).</w:t>
      </w:r>
    </w:p>
    <w:p>
      <w:r>
        <w:rPr>
          <w:b/>
        </w:rPr>
        <w:t>E. 2</w:t>
      </w:r>
    </w:p>
    <w:p>
      <w:r>
        <w:t>2.1 Die vorliegend zu beurteilende Beschwerde richtet sich gegen die Anordnung einer vorsorglichen Massnahme, die unbestrittenermassen eine selbständig eröffnete Zwischenverfügung darstellt. Nach Art. 46 Abs. 1 VwVG ist die Beschwerde gegen eine solche nur zulässig, wenn sie einen nicht wieder gutzumachenden Nachteil bewirken kann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 Von einem nicht wieder gutzumachenden Nachteil ist dann auszugehen, wenn die beschwerdeführende Person dadurch möglicherweise einen Nachteil erleiden würde, dass sie die Zwischenverfügung erst zusammen mit der Beschwerde gegen die Endverfügung anfechten könnte (Felix Uhlmann/Simone Wälle-Bär, in: Waldmann/Weissenberger [Hrsg.], Praxiskommentar VwVG, Zürich 2009, N 4 zu Art. 46; Urteil des Bundesverwaltungsgerichts A-2160/2010 vom 3. Januar 2011 E. 2.2.3 mit Hinweisen). Mit dem Erfordernis des irreparablen Nachteils wird mithin die Voraussetzung eines schutzwürdigen Interesses an der sofortigen Aufhebung oder Abänderung des angefochtenen Zwischenentscheids umschrieben (Martin Kayser, in: Auer/Müller/Schindler [Hrsg.], Kommentar zum Bundesgesetz über das Verwaltungsverfahren (VwVG), Zürich und St. Gallen 2008, N 10 zu Art. 46). Dieser Nachteil muss nicht rechtlicher Natur sein; die Beeinträchtigung in schutzwürdigen tatsächlichen Interessen genügt. Das schutzwürdige Interesse kann namentlich wirtschaftlich begründet sein, der Prozessökonomie oder der Rechtssicherheit entspringen. Das blosse Interesse, eine Verlängerung oder Verteuerung des Verfahrens abzuwenden, genügt hingegen nicht (Urteil des Bundesverwaltungsgerichts A-7975/2008 vom 22. Juni 2009 E. 3 mit Hinweisen; André Moser/Michael Beusch/Lorenz Kneubühler, Prozessieren vor dem Bundesverwaltungsgericht, Basel 2008, N 2.45 ff.; Kayser, a.a.O., N 11 zu Art. 46; Uhlmann/Wälle-Bär, a.a.O., N 7 zu Art. 46).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(BGE 135 II 30 E. 1.3.2; Urteil des Bundesverwaltungsgerichts A-2160/2010 vom 3. Januar 2011 E. 2.2.3 mit Hinweisen).</w:t>
      </w:r>
    </w:p>
    <w:p>
      <w:r>
        <w:rPr>
          <w:b/>
        </w:rPr>
        <w:t>E. 2.2</w:t>
      </w:r>
    </w:p>
    <w:p>
      <w:r>
        <w:t>Die Beschwerdeführerin macht in Bezug auf ihre Beschwerdelegitimation weder in der Beschwerde vom 13. Juli 2011 noch in ihrer Stellungnahme vom 1. September 2011 geltend, sie erleide einen nicht wieder gutzumachenden wirtschaftlichen Nachteil, wenn sie die Zwischenverfügung erst zusammen mit der Beschwerde gegen die Endverfügung anfechten könne. Ein solcher Nachteil, der sich noch vor der definitiven Festlegung der Tarife für das Jahr 2012 auswirken könnte, ist denn auch nicht ersichtlich. Wie die Beschwerdeführerin selber zutreffend ausführt, könnte die Festsetzung eines höheren als des vorsorglich verfügten Tarifs mit einer vorübergehenden Erhöhung nach Verfahrensabschluss ausgeglichen werden, womit eine Rückabwicklung gewährleistet wäre. Ein nicht wieder gutzumachender Nachteil vorab wirtschaftlicher Natur ist somit auch insofern zu verneinen (Urteil des Bundesverwaltungsgerichts C 351/2008 vom 24. Januar 2008 E. 4.3; BGE 125 II 613 E. 4b). In der Stellungnahme vom 1. September 2011 begründet die Beschwerdeführerin ihr schutzwürdiges Interesse mit der Prozessökonomie. Sie macht insbesondere geltend, sie wolle die Zulässigkeit von vorsorglichen Massnahmen gerichtlich überprüfen lassen, um klare Grundlagen zu erhalten, damit das Verfahren in Zukunft einfach, rasch und zweckmässig durchgeführt werden könne. Ihre Ausführungen im Zusammenhang mit der Prozessökonomie laufen letztlich darauf hinaus, unnötige Aufwendungen und damit eine Verlängerung bzw. Verteuerung des Verfahrens künftig zu vermeiden. Ein solches Interesse genügt aber, wie bereits erwähnt (vgl. E. 2.1), nicht. Zudem ist zu beachten, dass die Prozessökonomie vor allem in Art. 46 Abs. 1 Bst. b VwVG zu berücksichtigen ist, wonach eine Beschwerde gegen eine Zwischenverfügung zulässig ist, wenn die Gutheissung der Beschwerde sofort einen Endentscheid herbeiführen und damit einen bedeutenden Aufwand an Zeit oder Kosten für ein weitläufiges Beweisverfahren ersparen würde (Uhlmann/Wälle-Bär, a.a.O., N 7 zu Art. 46 Fussnote 23). Diese Möglichkeit besteht vorliegend jedoch unbestrittenermassen nicht. Nach dem Gesagten ist das Vorliegen eines nicht wieder gutzumachenden Nachteils im Sinn von Art. 46 Abs. 1 Bst. a VwVG zu verneinen. Es ist weder dargetan noch ersichtlich, inwiefern der Beschwerdeführerin dadurch, dass sie ihre Einwände gegen das Vorgehen der Vorinstanz gegebenenfalls erst im Rahmen der Anfechtung des Endentscheids vorbringen kann, ein nicht wieder gutzumachender Nachteil erleiden könnte.</w:t>
      </w:r>
    </w:p>
    <w:p>
      <w:r>
        <w:rPr>
          <w:b/>
        </w:rPr>
        <w:t>E. 2.3</w:t>
      </w:r>
    </w:p>
    <w:p>
      <w:r>
        <w:t>Fehlt es somit am erforderlichen nicht wieder gutzumachenden Nachteil, ist auf die Beschwerde nicht einzutreten, zumal es unbestrittenermassen auch an der Voraussetzung von Art. 46 Abs. 1 Bst. b VwVG mangelt.</w:t>
      </w:r>
    </w:p>
    <w:p>
      <w:r>
        <w:rPr>
          <w:b/>
        </w:rPr>
        <w:t>E. 3</w:t>
      </w:r>
    </w:p>
    <w:p>
      <w:r>
        <w:t>3.1 Bei diesem Ausgang des Verfahrens sind der Beschwerdeführerin als unterliegende Partei die Verfahrenskosten von Fr. 2'000.-- aufzuerlegen (Art. 63 Abs. 1 VwVG und Art. 4 des Reglements vom 21. Februar 2008 über die Kosten und Entschädigungen vor dem Bundesverwaltungsgericht [VGKE, SR 173.320.2]). Diese sind mit dem von ihr geleisteten Kostenvorschuss in der Höhe von Fr. 5'000.-- zu verrechnen. Der Restbetrag ist ihr nach Eintritt der Rechtskraft des vorliegenden Urteils zurückzuerstatten.</w:t>
      </w:r>
    </w:p>
    <w:p>
      <w:r>
        <w:rPr>
          <w:b/>
        </w:rPr>
        <w:t>E. 3.2</w:t>
      </w:r>
    </w:p>
    <w:p>
      <w:r>
        <w:t>Weder die unterliegende Beschwerdeführerin noch die obsiegende Vorinstanz haben Anspruch auf eine Parteientschädigung (Art. 64 Abs. 1 VwVG i.V.m. Art. 7 Abs. 1 und 3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