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A-3941/2010 vom 15. April 2011</w:t>
      </w:r>
    </w:p>
    <w:p>
      <w:r>
        <w:t>Bundesverwaltungsgericht, 2011-04-15, DE</w:t>
      </w:r>
    </w:p>
    <w:p>
      <w:r>
        <w:rPr>
          <w:b/>
        </w:rPr>
        <w:t xml:space="preserve">Quelle: </w:t>
      </w:r>
      <w:r>
        <w:t>https://mcp.opencaselaw.ch/entscheid/bvger_A-3941_2010</w:t>
      </w:r>
    </w:p>
    <w:p>
      <w:r>
        <w:t>FR: TAF A-3941/2010 du 15 avril 2011</w:t>
      </w:r>
    </w:p>
    <w:p>
      <w:r>
        <w:t>IT: TAF A-3941/2010 del 15 aprile 2011</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Da im Bereich der Radio- und Fernsehgebühren keine Ausnahme vorliegt, das BAKOM eine Behörde im Sinne von Art. 33 Bst. d VGG ist und der Beschwerdeentscheid des BAKOM vom 7. Mai 2010 eine Verfügung im Sinne von Art. 5 VwVG darstellt, ist das Bundesverwaltungsgericht zur Beurteilung der vorliegenden Beschwerde zuständig.</w:t>
      </w:r>
    </w:p>
    <w:p>
      <w:r>
        <w:rPr>
          <w:b/>
        </w:rPr>
        <w:t>E. 1.2</w:t>
      </w:r>
    </w:p>
    <w:p>
      <w:r>
        <w:t>Zur Beschwerde ist nach Art. 48 Abs.1 VwVG berechtigt, wer vor der Vorinstanz am Verfahren teilgenommen oder keine Möglichkeit zur Teilnahme erhalten hat, durch die angefochtene Verfügung besonders berührt ist und ein schutzwürdiges Interesse an deren Aufhebung oder Änderung hat. Als formelle und materielle Verfügungsadressatin hat die Beschwerdeführerin ohne weiteres ein aktuelles, schutzwürdiges Interesse an der Aufhebung des angefochtenen Entscheids der Vorinstanz und ist folglich beschwerdelegitimiert.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Im Verfahren vor dem Bundesverwaltungsgericht gilt der Grundsatz der Rechtsanwendung von Amtes wegen. Das Bundesverwaltungsgericht ist nicht an die Begründung der Begehren gebunden (Art. 62 Abs. 4 VwVG).</w:t>
      </w:r>
    </w:p>
    <w:p>
      <w:r>
        <w:rPr>
          <w:b/>
        </w:rPr>
        <w:t>E. 4</w:t>
      </w:r>
    </w:p>
    <w:p>
      <w:r>
        <w:t>Am 1. April 2007 sind das neue Bundesgesetz vom 24. März 2006 über Radio und Fernsehen (RTVG, SR 784.40) und die dazugehörige Radio- und Fernsehverordnung vom 9. März 2007 (RTVV, SR 784.401) in Kraft getreten. Da sich der hier zu beurteilende Sachverhalt (Gebührenpflicht vom 1. Dezember 2003 bis 31. Januar 2008) teilweise noch unter dem bis zum 31. März 2007 geltenden Recht, dem Bundesgesetz vom 21. Juni 1991 über Radio und Fernsehen (aRTVG, AS 1992 601 mit weiteren Änderungen) und der Radio- und Fernsehverordnung vom 6. Oktober 1997 (aRTVV, AS 1997 2903 mit weiteren Änderungen) ereignet hat, ist für die Beurteilung der sich stellenden Rechtsfragen bis zum 31. März 2007 noch das alte, ab dem 1. April 2007 jedoch das neue Recht anwendbar (vgl. André Moser / Michael Beusch / Lorenz Kneubühler, Prozessieren vor dem Bundesverwaltungsgericht, Basel 2008, Rz. 2.202 mit Hinweisen; Urteil des Bundesverwaltungsgerichts A 7657/2009 vom 29. April 2010 E. 2; vgl. auch die - allerdings auf Aufsichtsverfahren beschränkte - übergangsrechtliche Regelung von Art. 113 Abs. 2 RTVG).</w:t>
      </w:r>
    </w:p>
    <w:p>
      <w:r>
        <w:rPr>
          <w:b/>
        </w:rPr>
        <w:t>E. 5.1</w:t>
      </w:r>
    </w:p>
    <w:p>
      <w:r>
        <w:t>Wer ein zum Empfang von Radio- und Fernsehprogrammen geeignetes Gerät (Empfangsgerät) zum Betrieb bereithält oder betreibt, muss dies der Gebührenerhebungsstelle vorgängig melden und hat eine Empfangsgebühr zu bezahlen (Art. 68 Abs. 1 und 3 RTVG; Art. 55 Abs. 1 aRTVG i.V.m. Art. 41 Abs. 1 aRTVV). Die Empfangs­gebühr ist pro Haushalt oder Geschäftsstelle unabhängig von der Zahl der Empfangsgeräte nur einmal geschuldet (Art. 68 Abs. 2 RTVG; Art. 42 Abs. 1 aRTVV). Die Gebührenpflicht beginnt am ersten Tag des Monats, der dem Beginn des Bereithaltens oder des Betriebs des Empfangsgeräts folgt (Art. 68 Abs. 4 RTVG; Art. 44 Abs. 2 aRTVV) und endet mit Ablauf des Monats, in dem das Bereithalten und der Betrieb aller Empfangsgeräte enden, jedoch nicht vor Ablauf des Monats, in dem dies der Gebührenerhebungsstelle gemeldet worden ist (Art. 68 Abs. 5 RTVG) bzw. am letzten Tag des Monats, in dem die Einstellung des Betriebs mitgeteilt wird (Art. 44 Abs. 2 aRTVV). Änderungen der meldepflichtigen Sachverhalte sind der Gebührenerhebungsstelle schriftlich zu melden (Art. 68 Abs. 3 RTVG i.V.m. Art. 60 Abs. 1 RTVV; Art. 41 Abs. 2 aRTVV [in der Fassung, welche am 1. August 2001 in Kraft getreten ist]; zur relativ strengen Handhabung dieser Mitwirkungs- und Meldepflicht vgl. Urteile des Bundesgerichts 2C_629/2007 vom 13. März 2008 E. 2 und 2A.621/2004 vom 3. November 2004 E. 2.2; Urteile des Bundesverwaltungsgerichts A 3292/2010 vom 20. August 2010 E. 5, A 7657/2009 vom 29. Ap­­ril 2010 E. 2.3, A-4466/2008 vom 3. Februar 2009 E. 5.1, A 2276/2006 vom 1. März 2007 E. 7 und A 2348/2006 vom 14. Au­gust 2007 E. 4.2). Dagegen wird die Gebührenpflicht durch den Nichterhalt von Rechnungen nicht beendet (vgl. Art. 68 Abs. 5 RTVG, Art. 44 Abs. 2 aRTVV). Aus den gesetzlichen Bestimmungen zur Mitteilung der Beendigung der Gebührenpflicht ergibt sich somit, dass die Gebührenpflicht bestehen bleibt, solange die schriftliche Mitteilung über das die Gebührenpflicht beendende Ereignis - wie zum Beispiel die Aufnahme eines gemeinsamen Haushalts mit einer anderen bereits gebührenpflichtigen Person - der Erstinstanz nicht zugegangen ist. Dies hat zur Folge, dass die schriftliche Mitteilung, wenn sie erfolgt, nur Auswirkungen für die Zukunft, nicht aber rückwirkend für die Vergangenheit haben kann (vgl. Urteile des Bundesgerichts 2C_629/2007 vom 13. März 2008 E. 2 und 2A.621/2004 vom 3. November 2004 E. 2.2 zu 41 Abs. 2 aRTVV und 44 Abs. 2 aRTVV; vgl. auch Rolf H. Weber, Rundfunkrecht, Bern 2008, Art. 68 RTVG, Rz. 9).</w:t>
      </w:r>
    </w:p>
    <w:p>
      <w:r>
        <w:rPr>
          <w:b/>
        </w:rPr>
        <w:t>E. 5.2</w:t>
      </w:r>
    </w:p>
    <w:p>
      <w:r>
        <w:t>Vorliegend ist unbestritten, dass die Beschwerdeführerin seit Januar 1998 bei der Erstinstanz für den privaten Radio- und Fernsehempfang angemeldet war. Unbestritten ist auch, dass sich die Beschwerdeführerin am 16. Januar 2008 für den Radio- und Fernsehempfang ab dem 1. Februar 2008 an der Adresse "..." anmeldete. Aus den Akten ergibt sich, dass die Beschwerdeführerin eine schriftliche Meldung betreffend ihres gemeinsamen Haushalts mit B._______ an ... bzw. eine Abmeldung ihres eigenen Radio- und Fernsehempfangs für die Zeit von Oktober 2003 bis Januar 2008 am 28. Oktober 2008 der Erstinstanz zukommen liess. Eine früher erfolgte schriftliche Mitteilung diesbezüglich ist weder aktenkundig noch wird sie von der Beschwerdeführerin geltend gemacht. Da eine Meldung über ein die Gebührenpflicht beendendes Ereignis nicht rückwirkend zu einer Beendigung der Gebührenpflicht führt, und die Meldung vom 28. Okto­ber 2008 vorliegend unbestrittenermassen erst nach der Auflösung des gemeinsamen Haushalts mit B._______ (Januar 2008) erfolgte, unterlag die Beschwerdeführerin ununterbrochen und somit auch in der Zeit vom 1. Dezember 2003 bis 31. Januar 2008 der Gebührenpflicht für den privaten Empfang von Radio- und Fernsehprogrammen. Daran vermag auch der Einwand der Beschwerdeführerin nichts zu ändern, die Erstinstanz habe die Mitteilung einer früheren Adressänderung nicht verarbeitet. Denn die Gebührenpflicht wird, wie in E. 5.1 ausgeführt, durch den Nichterhalt von Rechnungen nicht beendet.</w:t>
      </w:r>
    </w:p>
    <w:p>
      <w:r>
        <w:rPr>
          <w:b/>
        </w:rPr>
        <w:t>E. 5.3</w:t>
      </w:r>
    </w:p>
    <w:p>
      <w:r>
        <w:t>Gestützt auf vorstehende Erwägungen hat die Vorinstanz zu Recht die Gebührenpflicht der Beschwerdeführerin für die Zeit vom 1. Dezember 2003 bis 31. Januar 2008 bestätigt. Der vorinstanzliche Entscheid erweist sich folglich (auch hinsichtlich der von der Beschwerdeführerin beanstandeten Auferlegung der Verfahrenskosten im Umfang von Fr. 250.-) als rechtmässig, und die Beschwerde ist abzuweisen.</w:t>
      </w:r>
    </w:p>
    <w:p>
      <w:r>
        <w:rPr>
          <w:b/>
        </w:rPr>
        <w:t>E. 6</w:t>
      </w:r>
    </w:p>
    <w:p>
      <w:r>
        <w:t>Bei diesem Verfahrensausgang gilt die Beschwerdeführerin als unterliegend, und es sind ihr die auf Fr. 500.- festzusetzenden Verfahrenskosten aufzuerlegen (Art. 63 Abs. 1 VwVG). Dieser Betrag ist mit dem in gleicher Höhe geleisteten Kostenvorschuss zu verrechnen. Eine Parteientschädigung ist nicht auszurichten (Art. 64 Abs. 1 VwVG i.V.m. Art. 7 des Reglements vom 21. Februar 2008 über die Kosten und Entschädigungen vor dem Bun­des­verwaltungsgericht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