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A-393/2009 vom 14. April 2011</w:t>
      </w:r>
    </w:p>
    <w:p>
      <w:r>
        <w:t>Bundesverwaltungsgericht, 2011-04-14, FR</w:t>
      </w:r>
    </w:p>
    <w:p>
      <w:r>
        <w:rPr>
          <w:b/>
        </w:rPr>
        <w:t xml:space="preserve">Quelle: </w:t>
      </w:r>
      <w:r>
        <w:t>https://mcp.opencaselaw.ch/entscheid/bvger_A-393_2009</w:t>
      </w:r>
    </w:p>
    <w:p>
      <w:r>
        <w:t>FR: TAF A-393/2009 du 14 avril 2011</w:t>
      </w:r>
    </w:p>
    <w:p>
      <w:r>
        <w:t>IT: TAF A-393/2009 del 14 aprile 2011</w:t>
      </w:r>
    </w:p>
    <w:p>
      <w:pPr>
        <w:pStyle w:val="Heading2"/>
      </w:pPr>
      <w:r>
        <w:t>Regeste</w:t>
      </w:r>
    </w:p>
    <w:p>
      <w:r>
        <w:t>Douanes</w:t>
      </w:r>
    </w:p>
    <w:p>
      <w:pPr>
        <w:pStyle w:val="Heading2"/>
      </w:pPr>
      <w:r>
        <w:t>Erwägungen</w:t>
      </w:r>
    </w:p>
    <w:p>
      <w:r>
        <w:rPr>
          <w:b/>
        </w:rPr>
        <w:t>E. 2.1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w:t>
      </w:r>
    </w:p>
    <w:p>
      <w:r>
        <w:rPr>
          <w:b/>
        </w:rPr>
        <w:t>E. 2.2</w:t>
      </w:r>
    </w:p>
    <w:p>
      <w:r>
        <w:t>Est débiteur de la dette douanière - qui correspond à l'obligation de payer les droits de douane fixés par l'administration des douanes (art. 68 LD) - la personne qui conduit ou fait conduire les marchandises à travers la frontière douanière, la personne assujettie à l'obligation de déclarer ou son mandataire, la personne pour le compte de laquelle les marchandises sont importées ou exportées et, dans le trafic postal, le destinataire lorsque l'expéditeur ne prend pas expressément la dette douanière à charge (art. 70 al. 2 let. a à d LD). Lesdits débiteurs répondent solidairement de la dette douanière. Le recours entre eux est régi par les dispositions du Code des obligations du 30 mars 1911 (CO, RS 220) (art. 70 al. 3 LD). Il convient ici de souligner que - comme sous l'empire de l'aLD, en particulier de ses art. 9 et 13 - il existe, en application de la LD, un lien étroit entre les débiteurs de la dette douanière et les personnes assujetties à l'obligation de déclarer (cf. art. 26 et 70 al. 2 let. b LD; cf. arrêt du Tribunal administratif fédéral A-3067/2008 du 2 septembre 2010 consid. 2.1).</w:t>
      </w:r>
    </w:p>
    <w:p>
      <w:r>
        <w:rPr>
          <w:b/>
        </w:rPr>
        <w:t>E. 2.3.1</w:t>
      </w:r>
    </w:p>
    <w:p>
      <w:r>
        <w:t>Conformément à l'art. 73 al. 1 aLTVA, est soumise à l'impôt l'importation de biens, y compris l'importation de biens qui peuvent être introduits en franchise de droit de douane sur le territoire suisse. L'objet de la TVA à l'importation est ainsi différent de celui de l'impôt sur territoire suisse (cf. arrêt du Tribunal fédéral 2A.256/2003 du 8 janvier 2004 consid. 6.2.1). En principe, le passage d'un bien à travers la ligne suisse des douanes suffit pour entraîner l'imposition à l'importation (cf. arrêts du Tribunal administratif fédéral A-6120/2008 du 18 mai 2010 consid. 2.1 et les références citées, A-5828/2008 du 1er avril 2010 consid. 4.1, A-7933/2008 du 8 février 2010 consid. 2.2; Alois Camenzind/Niklaus Honauer/Klaus A. Vallender, Handbuch zum Mehrwertsteuergesetz [MWSTG], 2e éd., Berne 2003, ch. 1839 p. 629; Jean-Marc Rivier/Annie Rochat Pauchard, Droit fiscal suisse, La taxe sur la valeur ajoutée, Lausanne 2000, p. 272 s.).</w:t>
      </w:r>
    </w:p>
    <w:p>
      <w:r>
        <w:rPr>
          <w:b/>
        </w:rPr>
        <w:t>E. 2.3.2</w:t>
      </w:r>
    </w:p>
    <w:p>
      <w:r>
        <w:t>La notion d'importation ne figure pas dans les art. 72 ss aLTVA. Il s'ensuit que, conformément à l'art. 72 aLTVA, la législation douanière est applicable à l'impôt sur l'importation de biens, dans la mesure où les dispositions de l'aLTVA n'y dérogent pas. La TVA à l'importation est en fait liée à la même opération que celle qui fait naître la dette douanière (cf. arrêt du Tribunal fédéral 2A.90/1999 du 26 février 2001 consid. 2b in : Revue fiscale [RF] 2001 no 5 p. 360). Comme le précise l'art. 7 LD, et comme l'a confirmé la jurisprudence, c'est le passage d'une marchandise à travers la ligne suisse des douanes qui est déterminant et qui constitue l'importation (cf. arrêts du Tribunal administratif fédéral A-6120/2008 du 18 mai 2010 consid. 2.2 et les références citées, A-5828/2008 du 1er avril 2010 consid. 4.2, A-7933/2008 du 8 février 2010 consid. 2.3). Par introduction dans le territoire douanier, on entend un déplacement physique d'une marchandise à travers la frontière douanière (cf. Rivier/Rochat Pauchard, op. cit., p. 272 s.).</w:t>
      </w:r>
    </w:p>
    <w:p>
      <w:r>
        <w:rPr>
          <w:b/>
        </w:rPr>
        <w:t>E. 2.3.3</w:t>
      </w:r>
    </w:p>
    <w:p>
      <w:r>
        <w:t>Aux termes de l'art. 75 al. 1 aLTVA est assujetti à l'impôt quiconque est assujetti aux droits de douane. Les conditions, valant quant à la détermination des personnes tenues d'acquitter - conformément à l'art. 70 al. 2 LD - les droits de douane (débiteurs de la dette douanière, respectivement les personnes assujetties), sont dès lors également pertinentes pour définir le cercle des assujettis à l'impôt sur les importations, de sorte qu'il est renvoyé à ce sujet au consid. 2.1 ci-avant.</w:t>
      </w:r>
    </w:p>
    <w:p>
      <w:r>
        <w:rPr>
          <w:b/>
        </w:rPr>
        <w:t>E. 3.1</w:t>
      </w:r>
    </w:p>
    <w:p>
      <w:r>
        <w:t>D'après l'art. 26 LD, sont assujettis à l'obligation de déclarer les personnes assujetties à l'obligation de conduire les marchandises (let. a), les personnes chargées d'établir la déclaration en douane (let. b), les personnes qui modifient l'emploi d'une marchandise (let. d) et, dans le trafic postal, également l'expéditeur (let. c). En vertu du principe d'auto-déclaration, la personne assujettie à l'obligation de déclarer doit, dans le délai fixé par l'administration des douanes, déclarer en vue de la taxation les marchandises conduites, présentées et déclarées sommairement au bureau de douane et remettre les documents d'accompagnement (art. 25 al. 1 LD). Autrement dit, la loi sur les douanes oblige les assujettis à prendre les mesures nécessaires pour que les marchandises importées ou exportées à travers la frontière soient correctement déclarées à l'autorité douanière.</w:t>
      </w:r>
    </w:p>
    <w:p>
      <w:r>
        <w:rPr>
          <w:b/>
        </w:rPr>
        <w:t>E. 3.2</w:t>
      </w:r>
    </w:p>
    <w:p>
      <w:r>
        <w:t>Selon l'art. 18 al. 1 LD, la base du placement sous régime douanier est la déclaration en douane, laquelle constitue l'un des piliers du droit douanier (cf. Message du Conseil fédéral relatif à une nouvelle loi sur les douanes du 15 décembre 2003 in : FF 2004 517 ss spéc. 550 s. et 562; arrêts du Tribunal administratif fédéral A-3067/2008 du 2 septembre 2010 consid. 4.1, A-6595/2009 du 6 avril 2010 consid. 2.1; Barbara Schmid in: Kocher/Clavadetscher, op. cit., ch. 1 ad art. 18 LD). Le Conseil fédéral précise que la déclaration en douane est une manifestation de volonté de portée juridique; la personne qui la remet accomplit un acte exprimant une intention. Mais, en même temps, cette personne communique également des informations sur la marchandise, surtout dans le cas de la déclaration écrite. La déclaration en douane est dès lors également une déclaration de connaissance ("eine Wissenserklärung"). La déclaration en douane doit ainsi renseigner sur la marchandise de manière complète et véridique à tous égards. Elle doit notamment contenir des indications sur la nature de la marchandise (genre, composition, nombre de pièces, emballage, quantité, valeur et pays de production), le destinataire ou l'importateur et sur le calcul des droits applicable (numéro de tarif et taux du droit). Si une exonération ou une réduction de droits est demandée ou si des actes législatifs autres que douaniers sont exécutés, la déclaration en douane doit également contenir les indications nécessaires à cet effet (cf. art. 8 ss LD, les dispositions sur les divers régimes douaniers [art. 47 ss LD], ainsi que les actes législatifs autres que douaniers applicables à la cause). Les documents d'accompagnement doivent, le cas échéant, fournir des renseignements sur l'admissibilité de la marchandise à l'introduction dans le territoire douanier, à l'importation ou à l'exportation et sur sa provenance si cela est important pour la taxation (autorisation d'importation pour les marchandises soumises au monopole, permis d'exportation, certificats d'origine, listes de chargement, lettres de voiture, justificatifs de poids, etc.). Le droit douanier en vigueur énumère à l'art. 47, al. 5 OLD les pièces requises (Message du Conseil fédéral précité, p. 562).</w:t>
      </w:r>
    </w:p>
    <w:p>
      <w:r>
        <w:rPr>
          <w:b/>
        </w:rPr>
        <w:t>E. 3.3</w:t>
      </w:r>
    </w:p>
    <w:p>
      <w:r>
        <w:t>Concernant la TVA à l'importation et en vertu de l'art. 82 al. 1 aLTVA, l'impôt est perçu par l'AFD. Le prélèvement de la TVA ne s'opère donc pas - pour les assujettis - dans le cadre d'une procédure d'auto-taxation pure, mais dans le cadre d'une procédure de taxation mixte, tenant à la fois du principe de l'auto-taxation et de celui de l'auto-déclaration (cf. art. 72 ss aLTVA et art. 25 ss LD; cf. également les arrêts du Tribunal administratif fédéral A-5828/2008 du 1er avril 2010 consid. 5.2 et A-1337/2007 du 21 septembre 2009 consid. 3.3; Camenzind/Honauer/Vallender, op. cit., ch. 135 p. 65).</w:t>
      </w:r>
    </w:p>
    <w:p>
      <w:r>
        <w:rPr>
          <w:b/>
        </w:rPr>
        <w:t>E. 4.1</w:t>
      </w:r>
    </w:p>
    <w:p>
      <w:r>
        <w:t>En tant qu'exception au principe général de l'art. 7 LD (cf. consid. 2.1 ci-dessus), l'art. 8 LD prévoit l'admission en franchise pour certaines marchandises introduites dans le territoire douanier. Au sens de l'art. 8 al. 2 let. c LD, le Conseil fédéral peut notamment admettre en franchise les effets de déménagement. Aux termes de l'art. 14 al. 1 OD, les effets de déménagement appartenant aux immigrants sont admis en franchise. L'art. 14 al. 2 OD prévoit que les effets de déménagement doivent être importés à une date proche de celle du transfert de domicile. Les envois ultérieurs éventuels doivent être annoncés lors de la première importation. Si un obstacle s'oppose à l'importation des effets de déménagement, la franchise peut être accordée après la disparition de cet obstacle. L'al. 3 de la même disposition précise que sont réputés effets de déménagement les marchandises que les immigrants ont utilisées pour leur usage personnel, pour l'exercice de leur profession ou pour l'exploitation de leur entreprise durant au moins six mois sur le territoire douanier étranger et qu'ils vont continuer d'utiliser pour leur propre usage sur le territoire douanier (art. 14 al. 3 let. a OD). Les objets de ménage et les objets personnels, à l'exception des moyens de transport, des personnes physiques domiciliées sur le territoire douanier étranger qui acquièrent ou louent une maison ou un appartement sur le territoire douanier pour leur usage personnel exclusif, sont assimilés à des effets de déménagement si les autres conditions prévues à l'al. 3, let. a, sont remplies et si l'importation a lieu à une date proche de celle de la conclusion du contrat de vente ou de location (art. 14 al. 4 OD). Selon l'art. 14 al. 5 OD, sont réputées immigrants les personnes physiques qui transfèrent leur domicile du territoire douanier étranger au territoire douanier suisse (en la matière, voir sous l'ancien droit, soit l'aLD et l'OLD: arrêt du Tribunal fédéral 2A.243/1991 du 6 avril 1992 consid. 2a; décisions de la Commission fédérale de recours en matière de douane [CRD] 2003-049 du 25 mars 2004 consid. 2c, 1999-023 du 21 juillet 2000 consid. 3a).</w:t>
      </w:r>
    </w:p>
    <w:p>
      <w:r>
        <w:rPr>
          <w:b/>
        </w:rPr>
        <w:t>E. 4.2</w:t>
      </w:r>
    </w:p>
    <w:p>
      <w:r>
        <w:t>Concernant la TVA à l'importation, l'art. 74 al. 1 ch. 4 aLTVA (art. 74 ch. 5 aLTVA dans sa version antérieure au 1er mai 2007, RO 2000 1300) prévoit, par renvoi à la législation douanière, qu'est franche l'importation de biens à titre d'effets de déménagement.</w:t>
      </w:r>
    </w:p>
    <w:p>
      <w:r>
        <w:rPr>
          <w:b/>
        </w:rPr>
        <w:t>E. 4.3</w:t>
      </w:r>
    </w:p>
    <w:p>
      <w:r>
        <w:t>L'art. 22 de la loi fédérale du 21 juin 1996 sur l'imposition des véhicules automobiles (Limpauto, RS 641.51) prévoit qu'est soumise à l'impôt l'importation sur le territoire suisse de véhicules automobiles. Fondé sur l'art. 12 Limpauto, l'art. 1 al. 1 let. a ch. 1 de l'ordonnance du 20 novembre 1996 sur l'imposition des véhicules automobiles (Oimpauto, RS 641.511) dispose qu'est exonérée de l'impôt l'importation de véhicules automobiles admis en franchise de droits de douane en tant qu'effets de déménagement (en la matière, voir ATAF 2007/41 consid. 3; arrêt du Tribunal administratif fédéral A-5272/2007 du 16 février 2010; décision de la CRD 2000-020 du 29 août 2001 publiée in: JAAC 66.44 consid. 2b).</w:t>
      </w:r>
    </w:p>
    <w:p>
      <w:r>
        <w:rPr>
          <w:b/>
        </w:rPr>
        <w:t>E. 5</w:t>
      </w:r>
    </w:p>
    <w:p>
      <w:r>
        <w:t>En l'espèce, l'examen portera, dans un premier temps, sur la question de la qualification du véhicule en cause, à savoir s'il peut être réputé effet de déménagement au sens de l'art. 14 OD (consid. 5.1. ci-dessous). Puis, dans un deuxième temps, il conviendra encore d'examiner les autres griefs du recourant (consid. 5.2. ci-dessous).</w:t>
      </w:r>
    </w:p>
    <w:p>
      <w:r>
        <w:rPr>
          <w:b/>
        </w:rPr>
        <w:t>E. 5.1.1</w:t>
      </w:r>
    </w:p>
    <w:p>
      <w:r>
        <w:t>Il convient au préalable de clarifier la situation du véhicule. Sa première mise en circulation eut lieu le 20 décembre 2004 en Allemagne et le recourant est entré en Suisse avec le véhicule en date du 22 décembre 2004. A cette occasion, une autorisation d'utiliser sur territoire suisse un véhicule non dédouané a été délivrée au recourant avec un délai de validité au 31 décembre 2006. A cette date, le véhicule aurait dû donc être retourné à l'étranger, ce qui n'a pas été le cas puisqu'il est resté en Suisse jusqu'en juillet 2008, stationné auprès de l'agence P._______ à Genève. Le véhicule en question est ainsi resté immobilisé en Suisse du 23 décembre 2004 jusqu'en juillet 2008 pour réparation. Ce n'est que le 4 juillet 2008 que le véhicule en cause a été déclaré par le recourant à l'importation en sollicitant une admission en franchise pour effet de déménagement.</w:t>
      </w:r>
    </w:p>
    <w:p>
      <w:r>
        <w:rPr>
          <w:b/>
        </w:rPr>
        <w:t>E. 5.1.2</w:t>
      </w:r>
    </w:p>
    <w:p>
      <w:r>
        <w:t>L'autorité douanière considère que le véhicule ne satisfait pas à la condition des six mois d'utilisation sur territoire douanier étranger au sens de l'art. 14 al. 3 let. a OD, puisqu'il n'a été utilisé à l'étranger que pendant trois jours, soit les 20, 21 et 22 décembre 2004, le véhicule ayant été mis en circulation pour la première fois à l'étranger le 20 décembre 2004, puis immobilisé en Suisse dès le 23 décembre 2004 jusqu'en juillet 2008. Pour cette raison, la DGD déclare que le véhicule ne peut être considéré comme effet de déménagement au sens du droit douanier. Le recourant, pour sa part, estime que l'intervention imminente sur le véhicule due à une déficience technique et l'envoi obligatoire chez P._______, de même que l'interminable durée des réparations, doivent être considérés comme une impossibilité objective, donc un obstacle au sens de l'art. 14 al. 2 OD, à l'utilisation du véhicule pendant la période exigée et constituent également un motif valable au prolongement du délai de dédouanement.</w:t>
      </w:r>
    </w:p>
    <w:p>
      <w:r>
        <w:rPr>
          <w:b/>
        </w:rPr>
        <w:t>E. 5.1.3</w:t>
      </w:r>
    </w:p>
    <w:p>
      <w:r>
        <w:t>Le Tribunal de céans ne peut néanmoins suivre le raisonnement du recourant. Un empêchement ou un obstacle au sens des dispositions concernées n'a trait qu'à l'importation elle-même de l'effet de déménagement. Ainsi, au regard de l'art. 14 al. 2 OD, un obstacle à l'importation peut être invoqué pour retarder l'octroi de la franchise. De même, sous le régime de l'ancienne loi, à laquelle le recourant se réfère, l'art. 13 al. 4 OLD stipulait que l'immigrant pouvait se prévaloir d'un empêchement de procéder à l'importation, la franchise lui étant accordée après l'élimination de celui-ci, mais au plus tard dans le délai de trois ans à compter du transfert de domicile (cf. arrêt du Tribunal fédéral 2A.243/1991 du 6 avril 1992 consid. 2a; décision de la CRD 2003-049 du 25 mars 2004 consid. 2c). L'obstacle ou l'empêchement tel qu'entendu en la matière ne concerne donc pas les six mois d'utilisation personnelle sur territoire étranger, condition nécessaire pour que la marchandise soit réputée effet de déménagement. En l'occurrence, le Tribunal de céans constate, concernant les conditions pour une admission en franchise pour effets de déménagement, que la réglementation est la même que l'on se trouve sous le régime de l'aLD ou de la LD. A ce propos, le Conseil fédéral a d'ailleurs considéré que les dispositions proposées n'entraînaient aucun changement de pratique (voir son message, FF 2004 517 p. 546). De plus, rien n'est précisé à ce sujet dans l'aperçu des principaux changements introduits par le droit douanier 2007 du 1er mai 2007. Quant au commentaire de l'ordonnance sur les douanes du 25 juillet 2006, la DGD précise seulement que l'engagement d'emploi qui était prévu à l'art. 13 al. 3 OLD pour les automobiles, bateaux à moteurs et aéronefs importés en franchise a été supprimé (alors que ceux-ci ne pouvaient être exonérés des droits de douane que si l'immigrant s'engageait à continuer de les utiliser, après le dédouanement en franchise, comme auparavant pendant une année au moins), ce que relève également la doctrine (Heinz Schreier in: Kocher/Clavadetscher, op. cit., ch. 19 ad art. 8 LD). Par contre, le principe selon lequel les effets de déménagement doivent continuer de servir à l'usage en propre ne subit aucun changement. Au surplus, le recourant n'affirme pas - à raison - que l'ordonnance sur les douanes enfreindrait les normes de la loi sur les douanes. En conclusion, la condition de l'utilisation personnelle sur territoire étranger durant six mois avant le transfert de domicile n'est en l'occurrence pas remplie, le véhicule en cause ne pouvant dès lors être réputé "effet de déménagement". Au surplus et par voie de conséquence, la problématique du délai de trois ans devient sans objet.</w:t>
      </w:r>
    </w:p>
    <w:p>
      <w:r>
        <w:rPr>
          <w:b/>
        </w:rPr>
        <w:t>E. 5.1.4</w:t>
      </w:r>
    </w:p>
    <w:p>
      <w:r>
        <w:t>En outre, on rappellera simplement que dans le cadre de la procédure tendant à la perception subséquente de redevances d'entrée, celle-ci se limite à définir la responsabilité fiscale qui est engagée sur la base de la déclaration. En effet, aux termes de l'art. 70 al. 3 LD, le recours entre les débiteurs de la dette douanière est régi par les dispositions du code des obligations. Par conséquent, l'allégation du recourant selon laquelle un empêchement non fautif à l'importation est survenu en raison du rappel obligatoire du véhicule de la part de l'agence P._______ à Genève ne peut être suivie et un éventuel litige entre les contractants, en l'occurrence entre le recourant et l'agence P._______, est une affaire de droit privé, dont l'issue dépend du juge civil (voir sous l'ancien droit, les arrêts du Tribunal administratif fédéral A-3931/2008 du 19 juillet 2010 consid. 6.7 et les nombreuses références citées). Dès lors, l'allégation du recourant à propos de l'immobilisation de son véhicule auprès de l'agence P._______ ne relève pas de la présente procédure et toute demande à ce propos peut sans autre être écartée.</w:t>
      </w:r>
    </w:p>
    <w:p>
      <w:r>
        <w:rPr>
          <w:b/>
        </w:rPr>
        <w:t>E. 5.2</w:t>
      </w:r>
    </w:p>
    <w:p>
      <w:r>
        <w:t>Il convient encore d'examiner les autres griefs que le recourant fait valoir, tels que la violation du droit d'être entendu (consid. 5.2.1.), de l'égalité de traitement (consid. 5.2.2.), du principe de la proportionnalité (consid. 5.2.3.), ainsi que du principe de la protection de la bonne foi (consid. 5.2.4.).</w:t>
      </w:r>
    </w:p>
    <w:p>
      <w:r>
        <w:rPr>
          <w:b/>
        </w:rPr>
        <w:t>E. 5.2.1</w:t>
      </w:r>
    </w:p>
    <w:p>
      <w:r>
        <w:t>Concernant le droit d'être entendu, il convient ici de rappeler que ce principe, tel qu'il est garanti par l'art. 29 al. 2 de la constitution fédérale de la Confédération suisse du 18 avril 1999 (Cst., RS 101),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(ATF 129 II 497 consid. 2.2, 125 V 332 consid. 3a). Cela dit, en ce qui concerne la partie elle-même, il y a lieu de préciser qu'en matière fiscale, son droit d'être entendue est respecté si elle a pu s'exprimer par écrit sur les questions de fait et de droit qui la concernent (cf. arrêts du Tribunal administratif fédéral A-6120/2008 du 18 mai 2010 consid. 8.2, A-1360/2006 du 1er mars 2007 consid. 3.2.2 et les références citées). En l'occurrence, le recourant reproche à l'autorité douanière d'avoir ignoré son empêchement - le rappel obligatoire de l'agence P._______ - à l'utilisation privée de son véhicule. Toutefois, le Tribunal de céans rappelle que même si le recourant a été empêché d'utiliser son véhicule, ce n'est pas l'objet du présent litige (cf. consid. 5.1), puisqu'il s'agit seulement ici de déterminer si le recourant est responsable fiscalement pour l'importation de son véhicule. Le grief de la violation du droit d'être entendu du recourant est dès lors infondé.</w:t>
      </w:r>
    </w:p>
    <w:p>
      <w:r>
        <w:rPr>
          <w:b/>
        </w:rPr>
        <w:t>E. 5.2.2</w:t>
      </w:r>
    </w:p>
    <w:p>
      <w:r>
        <w:t>Le recourant reproche également à l'autorité douanière de faire preuve d'inégalité de traitement en ne considérant ni les aspects spécifiques de l'affaire ni sa situation particulière. Le principe de l'égalité de traitement, consacré par l'art. 8 al. 1 Cst., interdit de traiter différemment deux situations ne présentant pas entre elles des différences suffisamment significatives pour justifier un traitement inégal. Une décision viole ainsi le principe de l'égalité de traitement,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(ATF 130 V 18 consid. 5.2, 129 I 265 consid. 3.2 et la jurisprudence citée; voir également l'arrêt du Tribunal administratif fédéral A-7519/2006 du 14 février 2008 consid. 7.2.1). Selon la jurisprudence, le principe de la légalité de l'activité administrative (cf. art. 5 al. 1 Cst.) prévaut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(ATF 132 II 485 consid. 8.6; voir également les arrêts du Tribunal fédéral 2A.647/2005 du 7 juin 2007 consid. 4.1 et 2A.568/2006 du 30 janvier 2007 consid. 6.1 et les références citées; voir aussi les arrêts du Tribunal administratif fédéral A-7519/2006 du 14 février 2008 consid. 7.2.1, A-1383/2006 du 19 juillet 2007 consid. 3.4.5 et A-1724/2006 du 2 avril 2007 consid. 9.3). En l'occurrence, les circonstances personnelles du recourant ne sauraient remettre en cause la décision entreprise. Aucun élément distinct ne permet de traiter le présent litige d'une manière différente des autres cas. En effet, en l'état du dossier remis aux mains du Tribunal de céans, rien n'indique que l'autorité inférieure a eu pour pratique de déroger aux règles légales en matière de perception - au sens large - des droits de douane. Le grief est ainsi rejeté.</w:t>
      </w:r>
    </w:p>
    <w:p>
      <w:r>
        <w:rPr>
          <w:b/>
        </w:rPr>
        <w:t>E. 5.2.3</w:t>
      </w:r>
    </w:p>
    <w:p>
      <w:r>
        <w:t>De plus, et bien que le recourant invoque le principe de la proportionnalité, il convient de constater que le recourant ne motive pas précisément en quoi ce principe serait violé, ce dernier étant dès lors écarté.</w:t>
      </w:r>
    </w:p>
    <w:p>
      <w:r>
        <w:rPr>
          <w:b/>
        </w:rPr>
        <w:t>E. 5.2.4</w:t>
      </w:r>
    </w:p>
    <w:p>
      <w:r>
        <w:t>Enfin, le recourant fait valoir indirectement sa bonne foi, en invoquant s'être fondé sur les renseignements donnés de vive voix par les douanes.</w:t>
      </w:r>
    </w:p>
    <w:p>
      <w:r>
        <w:rPr>
          <w:b/>
        </w:rPr>
        <w:t>E. 5.2.4.1</w:t>
      </w:r>
    </w:p>
    <w:p>
      <w:r>
        <w:t>Le principe de la protection de la bonne foi, inscrit à l'art. 2 CC, est un principe général du droit valable également en droit public, découlant à ce titre directement de l'art. 9 Cst. Il en découle notamment que l'administration doit s'abstenir de tout comportement propre à tromper l'administré et qu'elle ne saurait tirer aucun avantage des conséquences d'une incorrection ou insuffisance de sa part (ATF 126 II 387 consid. 3a et 124 II 269 consid. 4a). Le principe de la bonne foi protège en effet le citoyen dans la confiance légitime qu'il met dans les assurances reçues des autorités, lorsqu'il a réglé sa conduite d'après des décisions, des déclarations ou un comportement déterminé de l'administration (cf. ATF 129 I 161 consid. 4.1, 126 II 377 consid. 3a, 128 II 112 consid. 10b/aa; arrêts du Tribunal fédéral 2C_123/2010 du 5 mai 2010 consid. 4.1, 2C_382/2007 du 23 novembre 2007 consid. 3 et 2C_263/2007 du 24 août 2007 consid. 6.2; arrêts du Tribunal administratif fédéral A-4516/2008 du 5 janvier 2011 consid. 7.5.2, A-1107/2008 et A-1108/2008 du 15 juin 2010 consid. 10.1.1, A-5828/2008 du 1er avril 2010 consid. 9.1.1 et A-7703/2007 du 15 février 2010 consid. 4.1). La protection de la bonne foi présuppose la réalisation de conditions bien précises et cumulatives, à savoir que (i) l'autorité soit intervenue dans une situation concrète à l'égard de personnes déterminées, (ii) qu'elle ait agi ou soit censée avoir agi dans les limites de ses compétences et (iii) que l'administré n'ait pas pu se rendre immédiatement compte de l'inexactitude du renseignement obtenu. Il faut encore qu'il se soit fondé sur les assurances ou le comportement dont il se prévaut pour (iv) prendre des dispositions auxquelles il ne saurait renoncer sans subir de préjudice, et (v) que la réglementation n'ait pas changé depuis le moment où l'assurance a été donnée (cf. ATF 131 II 627 consid. 6.1, 131 V 480 consid. 5, 129 I 161 consid. 4.1; arrêts du Tribunal fédéral 2C_123/2010 du 5 mai 2010 consid. 4.1, 2C_693/2009 du 4 mai 2010 consid. 2.1; arrêts du Tribunal administratif fédéral A-4516/2008 du 5 janvier 2011, A-1107/2008 et A-1108/2008 du 15 juin 2010 consid. 10.1.2, A-5828/2008 du 1er avril 2010 consid. 9.1.2 et A-7703/2007 du 15 février 2010 consid. 4.1; Häfelin/Müller/Uhlmann, op. cit., p. 140 ss, spéc. p. 151 ss ch. 668 ss). Le Tribunal de céans rappelle également que le principe de la bonne foi ne s'applique pas lorsqu'il est confronté à des intérêts publics prépondérants (cf. ATF 129 I 161 consid. 2.1). En d'autres termes, l'intérêt privé à la protection de la confiance doit être supérieur à l'intérêt public à une correcte application du droit, afin que le principe de la bonne foi puisse trouver application (cf. ATF 131 V 480 consid. 5, 131 II 636 consid. 6.1; arrêt du Tribunal fédéral 1C_242/2007 du 11 juin 2008 consid. 3.3.1; arrêts du Tribunal administratif fédéral A-4516/2008 du 5 janvier 2011 consid. 7.5.2 et les références citées). Au demeurant, dans le même ordre d'idées, le Tribunal fédéral pose des exigences accrues en droit fiscal, dominé par le principe de la légalité, le principe de la protection de la confiance ne pouvant conduire à un traitement différent de celui dicté par la loi que dans la mesure où les conditions requises sont clairement et indubitablement réalisées (cf. ATF 131 II 627 consid. 6.1, 118 Ib 312 consid. 3b; arrêts du Tribunal fédéral 2C_693/2009 du 4 mai 2010 consid. 2.1, 2C_123/2010 du 5 mai 2010 consid. 4.1, 2A.564/1998 du 3 août 2000 in ASA 70 p. 764 consid. 6a in fine), même s'il est vrai que la doctrine est partagée à ce sujet (cf. Ernst Blumenstein/Peter Locher, System des schweizerischen Steuerrechts, 6e éd., Zurich 2002, p. 28; contra : JAAC 60.16 consid. 3c/bb; Xavier Oberson, Droit fiscal suisse, 3e éd., Bâle 2007, § 3 ch. 68 ss; Jean-Marc Rivier, Droit fiscal suisse, Lausanne 1998, p. 132; Rivier/Rochat Pauchard, op. cit., p. 49). Dans le contexte du présent litige, il y a lieu de préciser qu'une déclaration de l'autorité doit être interprétée selon le principe de la confiance. L'autorité n'est liée par sa déclaration que selon le sens que le destinataire peut et doit lui attribuer de bonne foi, en fonction de l'ensemble des circonstances (Revue de droit administratif et de droit fiscal [RDAF] 2005 I p. 74 consid. 2.2.1; ATF 123 III 165 consid. 3a, 116 II 431 consid. 3a). En conséquence, le cas échéant, il incombe au contribuable, en cas de doutes qui se présentent, de déclarations ou comportements contradictoires de l'autorité, de prendre contact avec l'administration, afin de dissiper les doutes ou incertitudes que la situation en cause a légitimement dû faire naître en son esprit, en raison même du comportement contradictoire ou peu clair de cette dernière (arrêt du Tribunal fédéral 2A.561/2002 du 11 juillet 2003 consid. 3.3; arrêt du Tribunal administratif fédéral A-1482/2007 du 2 avril 2008 consid. 6.3 et les références citées). A défaut, si l'administré ne prend pas contact avec l'autorité, il ne peut bénéficier d'entrée de cause d'une protection sous l'angle du principe de la bonne foi (arrêt du Tribunal fédéral 2A.555/1999 du 15 mai 2000 consid. 4b; arrêt du Tribunal administratif fédéral A-1482/2007 du 2 avril 2008 consid. 6.3).</w:t>
      </w:r>
    </w:p>
    <w:p>
      <w:r>
        <w:rPr>
          <w:b/>
        </w:rPr>
        <w:t>E. 5.2.4.2</w:t>
      </w:r>
    </w:p>
    <w:p>
      <w:r>
        <w:t>En l'occurrence, le recourant argue visiblement à tort une soi-disante violation du principe de la protection de la bonne foi au sens de l'art. 9 Cst., une assurance n'ayant manifestement pas été donnée par l'autorité. Au vu de l'avis de la doctrine en la matière, précisément sur la question des renseignements donnés oralement en droit douanier, l'évidence de la réalisation des conditions pertinentes n'est clairement pas donnée, l'existence d'un faux renseignement eu égard à l'état de fait soumis par le recourant n'étant pas confirmée. Le Tribunal de céans ne peut que constater que le recourant n'a reçu finalement qu'une affirmation orale de la part du bureau des douanes en date du 27 juin 2006 quant au soi-disant délai de trois ans (selon l'art. 13 al. 4 OLD, cf. consid. 5.1.3. ci-dessus) qu'il aurait eu à respecter pour dédouaner son véhicule en tant qu'effet de déménagement. En revanche, cette circonstance ne révèle pas si le préposé au bureau des douanes connaissait la situation concrète du véhicule en cause, notamment le fait que celui-ci n'avait pas l'assurance d'être réputé effet de déménagement au sens des prescriptions douanières. Or, on ne saurait prier l'administration, celles des douanes en particulier, d'anticiper et de s'assurer de l'exactitude de l'état de fait qui va fonder le renseignement. L'administré en est le seul responsable et doit supporter, le cas échéant, les conséquences de sa négligence ou de son absence de diligence relative à ses indications inexactes (cf. ATF 98 Ib 241 consid. 4b; JAAC 60.16 consid. 4a). Dès lors, la demande du recourant à ce propos peut sans autre être écartée. Enfin, s'il est vrai que le recourant a pu être de bonne foi au moment de l'importation de son véhicule, celle-ci ne saurait de toute manière entamer le bien-fondé de la créance ci-devant confirmée. En effet, si le fait d'être de bonne foi peut jouer un certain rôle en droit pénal, tel n'est cependant pas le cas en droit administratif. Nul ne peut en effet tirer un droit de sa méconnaissance des principes juridiques applicables (ATF 124 V 220 consid. 2b/aa, 113 V 81 consid. 4c, 110 V 338 consid. 4) et le recourant doit donc supporter les conséquences de son ignorance du droit douanier suisse lors de l'importation de son véhicule.</w:t>
      </w:r>
    </w:p>
    <w:p>
      <w:r>
        <w:rPr>
          <w:b/>
        </w:rPr>
        <w:t>E. 5.3</w:t>
      </w:r>
    </w:p>
    <w:p>
      <w:r>
        <w:t>En conclusion, c'est à bon droit que l'autorité douanière a considéré que le véhicule n'ayant pas été utilisé à l'étranger durant au moins six mois, il ne peut être réputé effet de déménagement, tout autre motif étant rejeté. Dès lors, le remboursement demandé par les douanes demeure, le recourant n'élevant aucun grief à l'encontre du calcul des redevances, pour un total de Fr. 47'887.30, montant qui doit ainsi être confirmé.</w:t>
      </w:r>
    </w:p>
    <w:p>
      <w:r>
        <w:rPr>
          <w:b/>
        </w:rPr>
        <w:t>E. 6</w:t>
      </w:r>
    </w:p>
    <w:p>
      <w:r>
        <w:t>Les considérations qui précèdent conduisent le TAF à rejeter le recours. Vu l'issue de la cause, en application de l'art. 63 al. 1 PA et de l'art. 1 du Règlement du 21 février 2008 concernant les frais, dépens et indemnités fixés par le Tribunal administratif fédéral (FITAF, RS 173.320.2), les frais de procédure, par Fr. 3'300.-, comprenant l'émolument judiciaire et les débours, sont mis à la charge du recourant qui succombe. L'autorité de recours impute, dans le dispositif, l'avance sur les frais de procédure correspondants et rembourse le surplus éventuel. Une indemnité à titre de dépens n'est pas allouée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