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A-3939/2024 vom 6. November 2024</w:t>
      </w:r>
    </w:p>
    <w:p>
      <w:r>
        <w:t>Bundesverwaltungsgericht, 2024-11-06, DE</w:t>
      </w:r>
    </w:p>
    <w:p>
      <w:r>
        <w:rPr>
          <w:b/>
        </w:rPr>
        <w:t xml:space="preserve">Quelle: </w:t>
      </w:r>
      <w:r>
        <w:t>https://mcp.opencaselaw.ch/entscheid/bvger_A-3939_2024</w:t>
      </w:r>
    </w:p>
    <w:p>
      <w:r>
        <w:t>FR: TAF A-3939/2024 du 6 novembre 2024</w:t>
      </w:r>
    </w:p>
    <w:p>
      <w:r>
        <w:t>IT: TAF A-3939/2024 del 6 novembre 2024</w:t>
      </w:r>
    </w:p>
    <w:p>
      <w:pPr>
        <w:pStyle w:val="Heading2"/>
      </w:pPr>
      <w:r>
        <w:t>Regeste</w:t>
      </w:r>
    </w:p>
    <w:p>
      <w:r>
        <w:t>Amtshilfe</w:t>
      </w:r>
    </w:p>
    <w:p>
      <w:pPr>
        <w:pStyle w:val="Heading2"/>
      </w:pPr>
      <w:r>
        <w:t>Erwägungen</w:t>
      </w:r>
    </w:p>
    <w:p>
      <w:r>
        <w:rPr>
          <w:b/>
        </w:rPr>
        <w:t>E. 1.1</w:t>
      </w:r>
    </w:p>
    <w:p>
      <w:r>
        <w:t>Das vorliegende Amtshilfeersuchen vom 26. September 2023 stützt sich auf das MAC.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Bundesgesetz vom 28. September 2012 über die internationale Amtshilfe in Steuersachen (StAhiG, SR 651.1;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w:t>
      </w:r>
    </w:p>
    <w:p>
      <w:r>
        <w:t>Die Beschwerdeführerin erfüllt als Adressatin der angefochtenen Schlussverfügung und Gesellschaft, deren Daten übermittelt werden sollen, die Voraussetzungen der Beschwerdelegitimation (vgl. Art. 19 Abs. 2 StAhiG i.V.m. Art. 48 VwVG). Die Beschwerde wurde überdies form- und fristgerecht eingereicht (Art. 50 Abs. 1 und Art. 52 Abs. 1 VwVG). Auf die Beschwerde ist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1.5.1</w:t>
      </w:r>
    </w:p>
    <w:p>
      <w:r>
        <w:t>Sodann gilt im Verfahren vor dem Bundesverwaltungsgericht der Grundsatz der freien Beweiswürdigung (vgl.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statt vieler: Urteil des BVGer A-1007/2023 vom 21. März 2024 E. 1.9).</w:t>
      </w:r>
    </w:p>
    <w:p>
      <w:r>
        <w:rPr>
          <w:b/>
        </w:rPr>
        <w:t>E. 1.5.2</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[SR 101; nachfolgend: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statt vieler: BGE 145 I 167 E. 4.1 mit Hinweisen; Urteil des BVGer A-1007/2023 vom 21. März 2024 E. 1.10 mit Hinweisen).</w:t>
      </w:r>
    </w:p>
    <w:p>
      <w:r>
        <w:rPr>
          <w:b/>
        </w:rPr>
        <w:t>E. 2.1</w:t>
      </w:r>
    </w:p>
    <w:p>
      <w:r>
        <w:t>Sowohl die Schweiz als auch Litauen sind Vertragsparteien des MAC, worauf sich das Amtshilfeersuchen vom 26. September 2023 stützt. Unter anderem ist in diesem Staatsvertrag die Leistung von Amtshilfe auf Ersuchen vorgesehen (Art. 5 Abs. 1 MAC).</w:t>
      </w:r>
    </w:p>
    <w:p>
      <w:r>
        <w:rPr>
          <w:b/>
        </w:rPr>
        <w:t>E. 2.1.1</w:t>
      </w:r>
    </w:p>
    <w:p>
      <w:r>
        <w:t>Gemäss Art. 5 Abs. 1 in Verbindung mit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für allgemeine Verbrauchssteuern wie Mehrwert- und Umsatzsteuern gemäss Art. 2 Abs. 1 Bst. b Ziff. ii bis iv MAC (vgl. Ziff. 1 des Vorbehaltes am Ende des Abkommens unter «Vorbehalte und Erklärungen»).</w:t>
      </w:r>
    </w:p>
    <w:p>
      <w:r>
        <w:rPr>
          <w:b/>
        </w:rPr>
        <w:t>E. 2.1.2</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weshalb diese grundsätzlich Amtshilfe gewähren kann für Besteuerungszeiträume ab dem 1. Januar 2018. Für Litauen ist das Übereinkommen am 1. Juni 2014 in Kraft getreten.</w:t>
      </w:r>
    </w:p>
    <w:p>
      <w:r>
        <w:rPr>
          <w:b/>
        </w:rPr>
        <w:t>E. 2.1.3</w:t>
      </w:r>
    </w:p>
    <w:p>
      <w:r>
        <w:t>Das Amtshilfeersuchen vom 26. September 2023 betrifft die Unternehmenssteuer und den Ermittlungszeitraum vom 1. Januar 2019 bis 31. Dezember 2021 (vgl. act. 1, Bst. B3). Es fällt demnach in den Anwendungsbereich von Art. 5 Abs. 1 MAC.</w:t>
      </w:r>
    </w:p>
    <w:p>
      <w:r>
        <w:rPr>
          <w:b/>
        </w:rPr>
        <w:t>E. 2.2.1</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Urteile des BVGer A-4300/2021 vom 13. Juli 2022 E. 4.3, A-3576/2020 vom 1. März 2021 E. 2.2.6).</w:t>
      </w:r>
    </w:p>
    <w:p>
      <w:r>
        <w:rPr>
          <w:b/>
        </w:rPr>
        <w:t>E. 2.2.2</w:t>
      </w:r>
    </w:p>
    <w:p>
      <w:r>
        <w:t>Das Ersuchen vom 26. September 2023 erfüllt diese formellen Vor-aussetzungen. Etwas anderes wird auch von der Beschwerdeführerin nicht geltend gemacht.</w:t>
      </w:r>
    </w:p>
    <w:p>
      <w:r>
        <w:rPr>
          <w:b/>
        </w:rPr>
        <w:t>E. 2.3</w:t>
      </w:r>
    </w:p>
    <w:p>
      <w:r>
        <w:t>Die nachfolgend erwähnte Rechtsprechung betreffend die Leistung von Amtshilfe auf Ersuchen gestützt auf ein Doppelbesteuerungsabkommen kann für das MAC insoweit übernommen werden, als die entsprechenden Bestimmungen unter rechtswesentlichen Aspekten inhaltlich vergleichbar sind (vgl. Urteil des BVGer A-3576/2020 vom 1. März 2021 E. 2.2.2).</w:t>
      </w:r>
    </w:p>
    <w:p>
      <w:r>
        <w:rPr>
          <w:b/>
        </w:rPr>
        <w:t>E. 2.3.1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 des BVGer A-5383/2019 vom 24. November 2020 E. 2.4). Gleiches gilt für die vom ersuchenden Staat abgegebenen Erklärungen (BGE 142 II 218 E. 3.3; Urteile des BVGer A-2664/2020 vom 26. Januar 2021 E. 6.1.1 f., A-105/2020 vom 22. Januar 2021 E. 2.3.1, A-4228/2018 vom 26. August 2019 E. 2.2, vgl. zum Ganzen auch: Urteil des BVGer A-3576/2020 vom 1. März 2021 E. 2.2.5).</w:t>
      </w:r>
    </w:p>
    <w:p>
      <w:r>
        <w:rPr>
          <w:b/>
        </w:rPr>
        <w:t>E. 2.3.2</w:t>
      </w:r>
    </w:p>
    <w:p>
      <w:r>
        <w:t>Gemäss Art. 5 Abs. 1 i.V.m. Art. 4 Abs. 1 MAC tauschen die Vertragsparteien alle Informationen aus, die für die Anwendung beziehungsweise Durchsetzung ihres innerstaatlichen Rechts betreffend die unter dieses Übereinkommen fallenden Steuern voraussichtlich erheblich sind.</w:t>
      </w:r>
    </w:p>
    <w:p>
      <w:r>
        <w:rPr>
          <w:b/>
        </w:rPr>
        <w:t>E. 2.3.2.1</w:t>
      </w:r>
    </w:p>
    <w:p>
      <w:r>
        <w:t>Als zur Anwendung oder Durchsetzung des innerstaatlichen Rechts voraussichtlich erheblich gelten Informationen, die für den ersuchenden Staat notwendig sind, um eine in diesem Staat steuerpflichtige Person dort korrekt zu besteuern (vgl. BGE 142 II 161 E. 2.1.1, 141 II 436 E. 4.4.3; Urteile des BVGer A-4228/2018 vom 26. August 2019 E. 2.4, A-4592/2018 vom 21. März 2019 E. 3.1.2).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sollten (vgl. BGE 144 II 206 E. 4.3, 142 II 161 E. 2.1.1).</w:t>
      </w:r>
    </w:p>
    <w:p>
      <w:r>
        <w:rPr>
          <w:b/>
        </w:rPr>
        <w:t>E. 2.3.2.2</w:t>
      </w:r>
    </w:p>
    <w:p>
      <w:r>
        <w:t>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dass die verlangten Informationen nicht«voraussichtlich erheblich» im Sinne von Art. 4 Abs. 1 MAC seien - nur verweigern, wenn ein Zusammenhang zwischen den verlangten Angaben und der im ersuchenden Staat durchgeführten Untersuchung wenig wahrscheinlich bzw. unwahrscheinlich erscheint (vgl. statt vieler: Urteile des BVGer A-2664/2020 vom 26. Januar 2021 E. 6.2, A-5695/2018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und A-4169/2020 vom 18. Januar 2021 E. 6.3), so ist sie dennoch vorhanden und zu beachten (zum Ganzen: Urteile des BVGer A-4588/2018 vom 22. Juli 2019 E. 3.4.3 [bestätigt durch das BGer mit Urteil 2C_780/2020 vom 10. März 2021], A-2830/2018 vom 17. September 2018 E. 3.1).</w:t>
      </w:r>
    </w:p>
    <w:p>
      <w:r>
        <w:rPr>
          <w:b/>
        </w:rPr>
        <w:t>E. 2.3.2.3</w:t>
      </w:r>
    </w:p>
    <w:p>
      <w:r>
        <w:t>Zwar hält das MAC - anders als die Amtshilfeartikel (bzw. die dazugehörigen Protokollbestimmungen) in vielen Doppelbesteuerungsabkommen sowie Art. 7 Bst. a StAhiG -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vgl. dazu auch E. 2.3.3 hiernach) erhellt aber, dass ein Ersuchen ohne jegliche Anhaltspunkte dafür, dass die Informationen für den ersuchenden Staat erheblich sein können, nicht möglich sein soll (Urteile des BVGer A-6857/2019 vom 13. Dezember 2021 E. 3.2.2, A-3576/2020 vom 1. März 2021 E. 2.2.4). Das Verbot der Beweisausforschung ist zudem auch Ausdruck des Verhältnismässigkeitsgrundsatzes (Urteil des BGer 2C_352/2020 vom 26. Mai 2020 E. 2.2; Urteile des BVGer A-5535/2021 vom 2. März 2023 E. 5, A-4987/2021 vom 20. Mai 2022 E. 2.2.1, je m.w.H.). Gemäss der bundesgerichtlichen Rechtsprechung hat der Begriff der «fishing expedition» einerseits einen verfahrensrechtlichen Charakter (ein Gesuch darf nicht zu Sondierungszwecken gestellt werden) und bildet andererseits auch eine materielle Schranke für den Informationsaustausch, indem die Amtshilfe dem ersuchenden Staat nicht erlauben darf, Informationen zu erhalten, die keinen ausreichend konkreten Bezug zum im Ersuchen geschilderten Sachverhalt haben (Urteile des BGer 2C_953/2020 vom 24. November 2021 E. 3.3, 2C_1662/2016 vom 4. Oktober 2017 E. 9.1.1 f.). Enthält ein Ersuchen alle Informationen, die gemäss dem anwendbaren Übereinkommen erforderlich sind, kann das Vorliegen einer «fishing expedition» grundsätzlich verneint werden (Urteil des BGer 2C_953/2020 vom 24. November 2021 E. 3.3; Urteil des BVGer A-5281/2021 vom 2. Mai 2022 E. 6.1).</w:t>
      </w:r>
    </w:p>
    <w:p>
      <w:r>
        <w:rPr>
          <w:b/>
        </w:rPr>
        <w:t>E. 2.3.3.1</w:t>
      </w:r>
    </w:p>
    <w:p>
      <w:r>
        <w:t>Gemäss Art. 21 Abs. 2 Bst. c MAC ist die Schweiz als ersuchter Staat nicht verpflichtet, Informationen zu erteilen, die nach seinem eigenen Recht oder seiner eigenen Verwaltungspraxis oder nach dem Recht des ersuchenden Staates oder dessen Verwaltungspraxis nicht beschafft werden können. Das Prinzip der Reziprozität bezieht sich somit nicht bloss auf die Möglichkeit, im jeweils anderen Staat ein Amtshilfeersuchen stellen zu können, sondern es beinhaltet auch die Erhältlichkeit der Informationen in einem innerstaatlichen Verfahren.</w:t>
      </w:r>
    </w:p>
    <w:p>
      <w:r>
        <w:rPr>
          <w:b/>
        </w:rPr>
        <w:t>E. 2.3.3.2</w:t>
      </w:r>
    </w:p>
    <w:p>
      <w:r>
        <w:t>In der Praxis ist es jedoch häufig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(zum Ganzen: Urteil des BGer 2C_646/2017 vom 9. April 2018 E. 2.1 und E. 2.4; Urteil des BVGer A-2725/2019 vom 20. Februar 2020 E. 2.7).</w:t>
      </w:r>
    </w:p>
    <w:p>
      <w:r>
        <w:rPr>
          <w:b/>
        </w:rPr>
        <w:t>E. 2.3.4</w:t>
      </w:r>
    </w:p>
    <w:p>
      <w:r>
        <w:t>Der ersuchende Staat hat schliesslich bei der Verwendung der ersuchten Informationen das Spezialitätsprinzip einzuhalten. Gemäss Art. 22 Abs. 1 und 2 MAC sind alle Informationen, die eine Vertragspartei nach diesem Übereinkommen erhalten hat, ebenso geheim zu halten und zu schützen wie die Informationen, die sie nach ihrem innerstaatlichen Recht erhalten hat. Die Informationen dürfen nur den Personen oder Behörden zugänglich gemacht werden, die mit der Festsetzung, Erhebung, Vollstreckung oder Strafverfolgung oder der Entscheidung über Rechtsmittel hinsichtlich der Steuern dieser Vertragspartei oder mit der Aufsicht darüber befasst sind.</w:t>
      </w:r>
    </w:p>
    <w:p>
      <w:r>
        <w:rPr>
          <w:b/>
        </w:rPr>
        <w:t>E. 2.3.5</w:t>
      </w:r>
    </w:p>
    <w:p>
      <w:r>
        <w:t>Gemäss Art. 21 Abs. 2 Bst. d MAC ist das Übereinkommen (mit Ausnahme von Art. 14) nicht so auszulegen, als verpflichte es den ersuchten Staat, Informationen zu erteilen, die ein Handels-, Industrie-, Gewerbe- oder Berufsgeheimnis oder ein Geschäftsverfahren preisgeben würden oder deren Preisgabe der öffentlichen Ordnung (ordre public) widerspräche. Die Bestimmungen des Übereinkommens, insbesondere diejenigen der Absätze 1 und 2, sind jedoch in keinem Fall so auszulegen, dass ein ersuchter Staat die Erteilung von Informationen nur deshalb ablehnen kann, weil sich die Informationen bei einer Bank, einem sonstigen Finanzinstitut, einem Bevollmächtigten, Vertreter oder Treuhänder befinden oder sich auf Eigentumsanteile an einer Person beziehen (Art. 21 Abs. 4 MAC).</w:t>
      </w:r>
    </w:p>
    <w:p>
      <w:r>
        <w:rPr>
          <w:b/>
        </w:rPr>
        <w:t>E. 3</w:t>
      </w:r>
    </w:p>
    <w:p>
      <w:r>
        <w:t>Die Beschwerdeführerin beantragt vorliegend, die Steuererklärungen (eventualiter die Beilagen zu dieser) seien nicht zu übermitteln, da diese nicht voraussichtlich erheblich seien. Nachfolgend ist daher zu prüfen, ob die Steuererklärungen und die Beilagen zu diesen an die ersuchende Behörde zu übermitteln sind.</w:t>
      </w:r>
    </w:p>
    <w:p>
      <w:r>
        <w:rPr>
          <w:b/>
        </w:rPr>
        <w:t>E. 3.1</w:t>
      </w:r>
    </w:p>
    <w:p>
      <w:r>
        <w:t>Die Beschwerdeführerin begründet ihren Antrag mit dem Argument, eine Mitarbeiterin der ersuchenden Behörde habe ihrer litauischen Vertreterin telefonisch mitgeteilt, sie sei zum Schluss gekommen, dass die Beschwerdeführerin über keine Betriebsstätte in Litauen verfüge, sodass keine Steuerpflicht der Beschwerdeführerin in Litauen gegeben sei. Aus diesem Grund entfalle die voraussichtliche Erheblichkeit der begehrten Informationen. Die Steuererklärungen im Besonderen enthielten darüber hinaus keine relevanten Informationen zur Feststellung, ob eine Betriebsstätte vorliege, weshalb diese nicht voraussichtlich erheblich seien. Sie enthielten sodann spezifische Besonderheiten des schweizerischen Gewinnsteuerrechts, welche im internationalen Kontext zu Missverständnissen führen könnten.</w:t>
      </w:r>
    </w:p>
    <w:p>
      <w:r>
        <w:rPr>
          <w:b/>
        </w:rPr>
        <w:t>E. 3.2</w:t>
      </w:r>
    </w:p>
    <w:p>
      <w:r>
        <w:t>Die Vorinstanz führt aus, die ersuchende Behörde habe ausdrücklich um die Steuererklärungen ersucht und zwar nach der von der Beschwerdeführerin geschilderten telefonischen Auskunft, weshalb diese zu übermitteln seien. Die Gefahr von Fehlinterpretationen aufgrund einer allfälligen Komplexität eines ersuchten Dokuments sei für die Beurteilung der voraussichtlichen Erheblichkeit nicht von Bedeutung.</w:t>
      </w:r>
    </w:p>
    <w:p>
      <w:r>
        <w:rPr>
          <w:b/>
        </w:rPr>
        <w:t>E. 3.3.1</w:t>
      </w:r>
    </w:p>
    <w:p>
      <w:r>
        <w:t>Wie bereits ausgeführt (E. 2.3.2 vorstehend), ist die voraussichtliche Erheblichkeit gegeben, wenn im Zeitpunkt der Einreichung des Amtshilfeersuchens eine vernünftige Möglichkeit besteht, dass sich die verlangten Informationen als erheblich erweisen werden. Ob eine Information tatsächlich erheblich ist, kann nur der ersuchende Staat abschliessend feststellen. Der ersuchte Staat beschränkt sich darauf, zu überprüfen, ob die verlangten Informationen einen Zusammenhang mit dem im Ersuchen dargestellten Sachverhalt haben und ob sie möglicherweise dazu geeignet sind, im ausländischen Verfahren verwendet zu werden. Aufgrund der ausdrücklichen Auflistung der Steuererklärungen im Amtshilfeersuchen («financial accountability documents» / «corporate tax returns», vgl. act. 1 Bst. C 1-14), sind diese als erheblich zu betrachten. Sie weisen einen Zusammenhang zu im ersuchten Staat laufenden Abklärungen der Steuerpflicht der Beschwerdeführerin auf und sind geeignet, den Sachverhalt zu erhellen. Ob die Informationen schlussendlich tatsächlich erheblich sein werden, kann und muss indessen nicht geklärt werden. Für die Beurteilung des Erfordernisses der voraussichtlichen Erheblichkeit ist es denn auch nicht massgebend, dass aus den Steuererklärungen unter Umständen nicht mehr herausgelesen werden kann als aus den handelsrechtlichen Abschlüssen. Das Erfordernis der voraussichtlichen Erheblichkeit bedingt nicht zwingend einen Informationsmehrwert im Vergleich zu den übrigen zu übermittelnden Informationen, sondern nur den genannten Zusammenhang zum im Amtshilfeersuchen dargestellten Sachverhalt. Deshalb hat die ersuchende Behörde auch keinen zusätzlichen Informationsmehrwert aufzuzeigen (Urteil des BVGer A-4830/2021 vom 23. Oktober 2023 E. 2.4.6). Nicht von Bedeutung für die Beurteilung der voraussichtlichen Erheblichkeit ist ferner die Gefahr von Fehlinterpretationen aufgrund einer allfälligen Komplexität eines ersuchten Dokuments (Urteil des BGer 2C_282/2021 vom 15. Juni 2022 E. 4.4.3). Daraus folgt, dass die Steuererklärungen vorliegend zu übermitteln sind.</w:t>
      </w:r>
    </w:p>
    <w:p>
      <w:r>
        <w:rPr>
          <w:b/>
        </w:rPr>
        <w:t>E. 3.3.2</w:t>
      </w:r>
    </w:p>
    <w:p>
      <w:r>
        <w:t>Praxisgemäss sind auch die Beilagen zu den Steuererklärungen zu übermitteln. Sie sind, vorbehältlich ihrer voraussichtlichen Erheblichkeit, auszutauschen (Urteil des BVGer A-272/2017 vom 5. Dezember 2017 E. 3.5.4 mit Hinweis auf BGE 143 II 185 E. 4.6). Vorliegend ist auch betreffend die Beilagen ein Zusammenhang zur im ersuchenden Staat laufenden Untersuchung gegeben. Die Beschwerdeführerin vermochte es denn auch angesichts der bundesgerichtlichen Rechtsprechung nicht, die voraussichtliche Erheblichkeit der Beilagen zu entkräften. Sie bringt einzig vor, die Beilagen enthielten keinen Informationsmehrwert und könnten aufgrund der Besonderheiten des schweizerischen Steuerrechts falsch interpretiert werden. Dazu gilt das soeben Gesagte (E. 3.3.2). Letztlich macht die Beschwerdeführerin auch nicht geltend, dass ein Handels-, Industrie-, Gewerbe- oder Berufsgeheimnis oder ein Geschäftsverfahren durch die Übermittlung der Beilagen preisgeben würde (vgl. E. 2.3.5). Entsprechend sind vorliegend auch die Beilagen zu den Steuererklärungen an die ersuchende Behörde zu übermitteln.</w:t>
      </w:r>
    </w:p>
    <w:p>
      <w:r>
        <w:rPr>
          <w:b/>
        </w:rPr>
        <w:t>E. 3.3.3</w:t>
      </w:r>
    </w:p>
    <w:p>
      <w:r>
        <w:t>Die Zeugeneinvernahme der Mitarbeiterin der ersuchenden Behörde oder der litauischen Vertreterin der Beschwerdeführerin würde an dieser Sachlage nichts ändern. Aufgrund der zeitlichen Abfolge, wonach die telefonische Auskunft im Juni 2023 und damit vor Stellung des Amtshilfeersuchens vom 23. September 2023 stattgefunden hat, ist aufgrund des völkerrechtlichen Vertrauensprinzips von der voraussichtlichen Erheblichkeit auszugehen. Im Amtshilfeersuchen ist explizit nach den Steuererklärungen gefragt und das Ersuchen wurde in der Folge auch nicht zurückgezogen. In der Beschwerdeschrift führt die Beschwerdeführerin sodann selbst aus, die genannte Mitarbeiterin der ersuchenden Behörde habe mitgeteilt, dass für den Abschluss der Steuerprüfung noch die Jahresrechnungen für den betreffenden Zeitraum benötigt würden (Beschwerdeschrift vom 21. Juni 2024, Rz. 19). Daraus geht hervor, dass die Untersuchung betreffend die Steuerpflicht eben noch nicht abgeschlossen ist und noch weitere Unterlagen benötigt werden. Ob es sich dabei nur um die Jahresrechnungen, oder auch um die Steuererklärungen und Beilagen dazu handelt, ist für die Beurteilung des Beweiserhebungsantrags nicht relevant, da die voraussichtliche Erheblichkeit der Steuererklärungen und Beilagen bzw. deren Zusammenhang zum im Amtshilfeersuchen dargestellten Sachverhalt bereits bejaht wurde. Es ist somit nicht zu erwarten, dass eine Befragung der Zeuginnen einen Mehrwert für das vorliegende Verfahren bedeuten würde weshalb darauf in antizipierter Beweiswürdigung zu verzichten ist (vgl. E. 1.5.2 vorstehend).</w:t>
      </w:r>
    </w:p>
    <w:p>
      <w:r>
        <w:rPr>
          <w:b/>
        </w:rPr>
        <w:t>E. 3.4</w:t>
      </w:r>
    </w:p>
    <w:p>
      <w:r>
        <w:t>Die Beschwerdeführerin rügt einen Verstoss gegen das Spezialitätsprinzip vor dem Bundesverwaltungsgericht nicht (mehr). Entsprechend erübrigen sich Ausführungen dazu, ebenso wie zur Rechtmässigkeit der Praxisänderung der ESTV in Bezug auf das Spezialitätsprinzip und dessen persönlicher Dimension.</w:t>
      </w:r>
    </w:p>
    <w:p>
      <w:r>
        <w:rPr>
          <w:b/>
        </w:rPr>
        <w:t>E. 3.5</w:t>
      </w:r>
    </w:p>
    <w:p>
      <w:r>
        <w:t>Im Ergebnis ist die voraussichtliche Erheblichkeit für die ersuchten Informationen gegeben und diese sind, inkl. Steuererklärungen und Beilagen, zu übermitteln. Auf die Einvernahme von Zeugen kann in antizipierter Beweiswürdigung verzichtet werden. Damit ist die Beschwerde vollumfänglich abzuweisen.</w:t>
      </w:r>
    </w:p>
    <w:p>
      <w:r>
        <w:rPr>
          <w:b/>
        </w:rPr>
        <w:t>E. 4.1</w:t>
      </w:r>
    </w:p>
    <w:p>
      <w:r>
        <w:t>Ausgangsgemäss hat die Beschwerdeführerin die auf Fr. 5'000.-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w:t>
      </w:r>
    </w:p>
    <w:p>
      <w:r>
        <w:rPr>
          <w:b/>
        </w:rPr>
        <w:t>E. 4.2</w:t>
      </w:r>
    </w:p>
    <w:p>
      <w:r>
        <w:t>Der unterliegenden Beschwerdeführerin ist keine Parteientschädigung zuzusprechen (vgl. Art. 64 Abs. 1 VwVG e contrario und Art. 7 Abs. 1 VGKE e contrario).</w:t>
      </w:r>
    </w:p>
    <w:p>
      <w:r>
        <w:rPr>
          <w:b/>
        </w:rPr>
        <w:t>E. 5</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