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A-3939/2018 vom 12. Januar 2022</w:t>
      </w:r>
    </w:p>
    <w:p>
      <w:r>
        <w:t>Bundesverwaltungsgericht, 2022-01-12, FR</w:t>
      </w:r>
    </w:p>
    <w:p>
      <w:r>
        <w:rPr>
          <w:b/>
        </w:rPr>
        <w:t xml:space="preserve">Quelle: </w:t>
      </w:r>
      <w:r>
        <w:t>https://mcp.opencaselaw.ch/entscheid/bvger_A-3939_2018</w:t>
      </w:r>
    </w:p>
    <w:p>
      <w:r>
        <w:t>FR: TAF A-3939/2018 du 12 janvier 2022</w:t>
      </w:r>
    </w:p>
    <w:p>
      <w:r>
        <w:t>IT: TAF A-3939/2018 del 12 gennaio 2022</w:t>
      </w:r>
    </w:p>
    <w:p>
      <w:pPr>
        <w:pStyle w:val="Heading2"/>
      </w:pPr>
      <w:r>
        <w:t>Regeste</w:t>
      </w:r>
    </w:p>
    <w:p>
      <w:r>
        <w:t>Fiscalité de l'épargne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(voir aussi art. 37 LISint). L'AFC veille à la bonne application des dispositions des accords et de la LISint, pour autant que celle-ci n'en dispose pas autrement (art. 21 al. 1 LISint). L'AFC prend toutes les mesures et rend toutes les décisions nécessaires à l'application de ces dispositions (art. 21 al. 2 LISint). Les décisions de paiement nécessaires rendues par l'AFC au sens de l'art. 28 LISint peuvent faire l'objet d'une réclamation, par écrit, dans les 30 jours suivant leur notification (art. 28 al. 1 LISint en lien avec l'art. 38 al. 1 LISint). Le recours contre les décisions sur réclamation de l'AFC est régi par les dispositions générales de la procédure fédérale (cf. art. 28 al. 4 LISint en lien avec l'art. 38 al. 4 LISint). Le Tribunal administratif fédéral est ainsi compétent pour connaître du présent recours.</w:t>
      </w:r>
    </w:p>
    <w:p>
      <w:r>
        <w:rPr>
          <w:b/>
        </w:rPr>
        <w:t>E. 1.2</w:t>
      </w:r>
    </w:p>
    <w:p>
      <w:r>
        <w:t>La recourante a qualité pour recourir en tant que destinataire de la décision attaquée (art. 48 al. 1 PA). Présenté dans le délai (art. 50 al. 1 PA) et les formes (art. 52 al. 1 PA) prescrits par la loi. Le recours est donc recevable et il convient d'entrer en matière au fond.</w:t>
      </w:r>
    </w:p>
    <w:p>
      <w:r>
        <w:rPr>
          <w:b/>
        </w:rPr>
        <w:t>E. 1.3.1</w:t>
      </w:r>
    </w:p>
    <w:p>
      <w:r>
        <w:t>A titre préalable, la recourante a requis le prononcé, au besoin, de la suspension de la procédure jusqu'à droit connu sur des causes pendantes similaires. Elle indique que selon ses informations, il existerait d'autres causes similaires à la sienne qui seraient pendantes devant le Tribunal administratif fédéral. Si les objets litigieux devaient porter effectivement sur la même question de fond, il pourrait ainsi se justifier de suspendre la présente cause jusqu'à droit connu sur les cas déjà pendants qui seraient procéduralement plus avancés. La recourante conclut dès lors qu'elle ne s'opposerait pas à une suspension de la procédure si le Tribunal administratif fédéral devait estimer que les conditions en étaient réalisées.</w:t>
      </w:r>
    </w:p>
    <w:p>
      <w:r>
        <w:rPr>
          <w:b/>
        </w:rPr>
        <w:t>E. 1.3.2</w:t>
      </w:r>
    </w:p>
    <w:p>
      <w:r>
        <w:t>L'autorité judiciaire saisie peut, à la demande des parties ou d'office, ordonner la suspension de la procédure lorsqu'il existe des motifs particuliers et pour autant qu'il n'en résulte pas de retard inadmissible au regard de l'art. 29 al. 1 de la Constitution fédérale de la Confédération suisse du 18 avril 1999 (Cst., RS 101). Une suspension de la procédure doit être justifiée par des motifs suffisants (cf. ATAF 2009/42 consid. 2.2; arrêts du TAF A-2527/2019 du 2 juin 2021 consid. 3.1.1 et les références citées; Moser/Beusch/Kneubühler, op. cit., n. marg. 2.149, op. cit., n. marg. 3.14). Elle peut être envisagée lorsqu'il ne se justifie pas, sous l'angle de l'économie de la procédure, de prendre une décision dans l'immédiat (cf. art. 6 de la loi fédérale de procédure civile fédérale du 4 décembre 1947 [PCF, RS 273]; ATF 123 II 1 consid. 2b et 122 II 211 consid. 3e; arrêts du Tribunal administratif fédéral A-510/2011 précité consid. 1.2.1 et A-514/2011 précité consid. 1.2.1; Moser/Beusch/Kneubühler, op. cit, n. marg. 3.14 s.). La suspension ne doit toutefois pas s'opposer à des intérêts publics et privés prépondérants et doit en outre demeurer l'exception (cf. ATF 130 V 90 consid. 5; 119 II 389 consid. 1b; arrêt du Tribunal fédéral 8C_982/2009 du 5 juillet 2010 consid. 2.2; arrêts du TAF A-2527/2019 du 2 juin 2021 consid. 3.1.1 et les références citées). En particulier, le principe de célérité qui découle de l'art. 29 Cst. pose des limites à la suspension d'une procédure. De manière générale, la décision de suspension relève du pouvoir d'appréciation de l'autorité saisie. Dans le cadre de l'exercice de ce pouvoir, elle procédera à la pesée des intérêts des parties, l'exigence de célérité l'emportant dans les cas limites (cf. ATF 119 II 386 consid. 1b; arrêt du Tribunal fédéral 1P.99/2002 du 25 mars 2002 consid. 4.1; arrêt du TAF A-2527/2019 du 2 juin 2021 consid. 3.1.1 et les références citées).</w:t>
      </w:r>
    </w:p>
    <w:p>
      <w:r>
        <w:rPr>
          <w:b/>
        </w:rPr>
        <w:t>E. 1.3.3</w:t>
      </w:r>
    </w:p>
    <w:p>
      <w:r>
        <w:t>En premier lieu, il sied de relever que même si la recourante a conclu à la suspension de la procédure, elle se contente d'indiquer dans sa motivation qu'elle ne s'y opposerait pas si le TAF décidait de suspendre la présente procédure. En second lieu, le seul fait que plusieurs causes similaires à celle de la recourante seraient pendantes par-devant le TAF ne suffit pas à suspendre la procédure. A suivre ce raisonnement, il conviendrait de suspendre une procédure à chaque fois qu'une cause similaire est portée devant le Tribunal. Quoiqu'il en soit, l'art. 28 LISint, disposition centrale dans le cadre de la présente procédure, a déjà fait l'objet d'une interprétation par la Cour de céans et confirmée par le Tribunal fédéral (cf. consid. 4.1 infra; arrêt du TAF A-790/2016 du 29 juin 2016, confirmé par l'arrêt du TF 2C_654/2016 du 17 mars 2017). Ainsi, il convient de rejeter la demande de suspension.</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(cf. notamment ATF 135 I 91 consid. 2.1; ATAF 2014/24 consid. 2.2; arrêt du TAF A-4747/2019 du 14 avril 2021 consid. 2.2.1).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A-1635/2015 du 11 avril 2016 consid. 2; A-3060/2015 du 10 novembre 2015 consid. 1.3.2; A-1337/2007 du 21 septembre 2009 consid. 3.2; A-1506/2006 du 3 juin 2008 consid. 2.1.3). La maxime inquisitoire doit être toutefois relativisée par son corollaire, à savoir le devoir des parties, respectivement des contribuables en matière fiscale, de collaborer à l'établissement des faits (art. 52 PA; cf. ATF 144 II 427 consid. 8.3.1; arrêt du TAF A-479/2021 du 8 septembre 2021 consid. 1.4.1; A-2479/2019 du 14 juillet 2021 consid. 2.2.1).</w:t>
      </w:r>
    </w:p>
    <w:p>
      <w:r>
        <w:rPr>
          <w:b/>
        </w:rPr>
        <w:t>E. 3</w:t>
      </w:r>
    </w:p>
    <w:p>
      <w:r>
        <w:t>Si l'AFC constate que l'agent payeur suisse n'a pas rempli entièrement ses obligations, elle lui donne l'occasion de s'expliquer sur les manquements constatés.</w:t>
      </w:r>
    </w:p>
    <w:p>
      <w:r>
        <w:rPr>
          <w:b/>
        </w:rPr>
        <w:t>E. 3.1</w:t>
      </w:r>
    </w:p>
    <w:p>
      <w:r>
        <w:t>L'Accord GB a été abrogé (RO 2016 5103) - sous réserve de quelques dispositions non pertinentes ici - au 1er janvier 2017, avec l'entrée en vigueur de l'échange automatique de renseignements (ci-après: EAR) au 1er janvier 2017. Cette abrogation résulte de l'art. 3 al. 1 de l'Accord du 14 novembre 2016 entre la Confédération suisse et le Royaume-Uni de Grande-Bretagne et d'Irlande du Nord relatif à l'abrogation de l'Accord GB (entré en vigueur le 1er janvier 2017; RS 0.672.936.741; ci-après: Accord du 14 novembre 2016). L'Accord du 14 novembre 2016 vise à assurer une transition ordonnée entre l'Accord GB et l'EAR relatifs aux comptes financiers entre les Etats contractants, en application de l'Accord entre la Suisse et l'UE (art. 1 de l'Accord du 14 novembre 2016). En définitive, la présente affaire doit être jugée en application de l'Accord GB (art. 3 al. 2 de l'Accord du 14 novembre 2016), ce qui n'est d'ailleurs pas contesté par les parties.</w:t>
      </w:r>
    </w:p>
    <w:p>
      <w:r>
        <w:rPr>
          <w:b/>
        </w:rPr>
        <w:t>E. 3.2.1</w:t>
      </w:r>
    </w:p>
    <w:p>
      <w:r>
        <w:t>Selon l'art. 1 al. 1 de l'Accord GB, celui-ci a pour but de garantir, par la coopération bilatérale des Etats contractants, l'imposition effective des personnes concernées au Royaume-Uni. La coopération bilatérale prévoit notamment que les avoirs de personnes concernées résidant au Royaume-Uni placés auprès d'un agent payeur suisse (notamment les banques au sens de la loi fédérale du 8 novembre 1934 sur les banques [LB, RS 952.0]), sont imposés sur la base de l'Accord GB en vue de leur régularisation (art. 1 al. 2 let. a de l'Accord GB). Les institutions de l'imposition par paiement unique ainsi que de la déclaration volontaire servent entre autres à atteindre le but précité (cf. arrêt du TF 2C_48/2015 du 20 janvier 2015 consid. 1.1; arrêt du TAF A-155/2015 du 22 juin 2015 consid. 2.1.1 et 5.3.2.1). Selon l'art. 5 de l'Accord GB, la personne concernée peut opter soit pour autoriser l'agent payeur suisse à prélever un paiement unique sur ses avoirs ayant un effet libératoire, soit pour l'autoriser à transmettre les renseignements bancaires le concernant à l'autorité compétente du Royaume-Uni (cf. Message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du 18 avril 2012 [ci-après: Message du 18 avril 2012; FF 2012 4555 ss]; cf. arrêt du TAF A-790/2016 du 29 juin 2016 consid. 2.1).</w:t>
      </w:r>
    </w:p>
    <w:p>
      <w:r>
        <w:rPr>
          <w:b/>
        </w:rPr>
        <w:t>E. 3.2.2</w:t>
      </w:r>
    </w:p>
    <w:p>
      <w:r>
        <w:t>Selon l'art. 9 al. 5 de l'Accord GB, l'agent payeur suisse transfère tous les mois les paiements uniques qu'il a prélevés à l'autorité compétente suisse, à savoir l'AFC (art. 2 al. 1 let. d de l' Accord GB en lien avec l'art. 5 al. 1 LISint). L'AFC transfère à son tour, chaque mois, ces paiements à l'autorité compétente du Royaume-Uni après avoir déduit une commission de perception (art. 9 al. 5 de l'Accord GB en lien avec l'art. 35 de l'Accord GB).</w:t>
      </w:r>
    </w:p>
    <w:p>
      <w:r>
        <w:rPr>
          <w:b/>
        </w:rPr>
        <w:t>E. 3.3</w:t>
      </w:r>
    </w:p>
    <w:p>
      <w:r>
        <w:t>Selon l'art. 17 al. 2 de l'Accord GB, les agents payeurs suisses versent une avance de 500 millions de francs suisses à l'autorité compétente suisse dans un délai de 25 jours à compter de l'entrée en vigueur de l'Accord GB. L'autorité compétente suisse transfère l'avance à l'autorité compétente du Royaume-Uni dans un délai d'un mois à compter de l'entrée en vigueur de l'Accord GB. Le versement de cette avance vise à garantir une recette fiscale minimum dans le cadre de la régularisation du passé (FF 2012 4555, 4589; cf. arrêt du TAF 790/2016 du 29 juin 2016 consid. 2.2.1).</w:t>
      </w:r>
    </w:p>
    <w:p>
      <w:r>
        <w:rPr>
          <w:b/>
        </w:rPr>
        <w:t>E. 3.4</w:t>
      </w:r>
    </w:p>
    <w:p>
      <w:r>
        <w:t>Les dispositions nécessaires à l'application de l'Accord GB qui relèvent des compétences internes de l'Etat suisse et qui n'ont pas leur place dans un accord de droit international nécessitent la promulgation d'une loi fédérale d'accompagnement, à savoir la LISint (Message du 18 avril 2012, FF 2012 4556), qui s'applique à l'Accord GB (art. 1 al. 2 LISint et ch. 2 de l'annexe à la LISint). Les dispositions dérogatoires de l'accord applicable en l'espèce sont réservées (art. 1 al. 3 LISint; arrêt du TAF A-155/2015 du 22 juin 2015 consid. 2.2.1).</w:t>
      </w:r>
    </w:p>
    <w:p>
      <w:r>
        <w:rPr>
          <w:b/>
        </w:rPr>
        <w:t>E. 3.5.1</w:t>
      </w:r>
    </w:p>
    <w:p>
      <w:r>
        <w:t>L'avance payée par les agents payeurs suisses est régie à la section 7 de la LISint. L'art. 26 LISint traite des questions relatives au versement de l'avance. Selon cette disposition, l'AFC est compétente pour verser l'avance au Royaume-Uni. Le Conseil fédéral fixe la date à laquelle l'avance des agents payeurs suisses doit parvenir à l'AFC. Selon l'art. 26 al. 4 LISint, si le montant de l'avance prévu par l'accord n'a pas été entièrement versé à l'échéance du délai fixé par le Conseil fédéral, l'AFC rend les décisions de paiement nécessaires pour qu'elle soit en mesure de respecter les délais prévus par l'Accord GB.</w:t>
      </w:r>
    </w:p>
    <w:p>
      <w:r>
        <w:rPr>
          <w:b/>
        </w:rPr>
        <w:t>E. 3.5.2</w:t>
      </w:r>
    </w:p>
    <w:p>
      <w:r>
        <w:t>Selon l'art. 26 al. 5 LISint, ces décisions de paiement sont rendues envers les agents payeurs suisses dont la part est supérieure à 0.5%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GB. Le montant de l'avance est réparti entre les agents payeurs suisses en fonction de leur part. Le Conseil fédéral a précisé dans le Message du 18 avril 2012 (FF 2012 4636) que: « Si l'avance reçue à la date fixée par le Conseil fédéral ne couvre pas l'intégralité de l'avance prévue par l'accord applicable, l'AFC rend les décisions de paiement nécessaires envers les agents payeurs suisses dont la part à la retenue d'impôt prélevée en lien avec l'Etat partenaire selon l'accord sur la fiscalité de l'épargne est supérieure à 0,5 %. La contribution de chaque agent payeur à l'avance est calculée d'après les données statistiques livrées à l'AFC la dernière année avant la signature de l'accord applicable. Cette clé de répartition constitue une approximation des parts de marché effectives détenues par les agents payeurs suisses en relation avec les clients [...] britanniques. Elle présente l'avantage de permettre à l'AFC de disposer déjà des données nécessaires pour répartir le solde de l'avance entre les agents payeurs et l'encaisser rapidement. La clé de répartition n'est pas manipulable puisque les données statistiques sur lesquelles elle s'appuie se rapportent à une période antérieure à la signature de l'accord applicable. Cette réglementation exclut en principe toute responsabilité de l'Etat. »</w:t>
      </w:r>
    </w:p>
    <w:p>
      <w:r>
        <w:rPr>
          <w:b/>
        </w:rPr>
        <w:t>E. 3.6</w:t>
      </w:r>
    </w:p>
    <w:p>
      <w:r>
        <w:t>Selon l'art. 17 al. 3 de l'Accord GB: « lorsque l'avance payée à l'autorité compétente du Royaume-Uni selon l'al. 2 et les paiements qui lui ont été transférés en vertu de l'art. 9 al. 5 atteignent le montant de 1300 millions de francs suisses, l'autorité compétente suisse compense l'avance au sens de l'al. 2 par les paiements ultérieurs au sens de l'art. 9 al. 5. Lorsque l'avance a été complètement compensée, les paiements suivants selon l'art. 9 al. 5 sont versés à l'autorité compétente du Royaume-Uni. ». Les agents payeurs suisses se chargent de créer une société relais qui assume leurs droits et obligations administratives en relation avec l'exécution de l'avance (art. 26 al. 1 LISint). Selon l'art. 26 al. 7 LISint, l'AFC vire aux agents payeurs suisses ou à la société relais le montant des paiements uniques compensés par l'avance en fonction de leur part à ladite avance.</w:t>
      </w:r>
    </w:p>
    <w:p>
      <w:r>
        <w:rPr>
          <w:b/>
        </w:rPr>
        <w:t>E. 3.7</w:t>
      </w:r>
    </w:p>
    <w:p>
      <w:r>
        <w:t>L'art. 28 LISint dénommé « Perte » prévoit une règlementation dans le cas où l'avance versée ne peut être entièrement compensée par les paiements uniques. Selon l'art. 28 al. 1 à 3 LISint: «1 Si l'avance versée ne peut pas être entièrement compensée par les paiements uniques, l'AFC rend les décisions de paiement nécessaires. Celles-ci s'adressent aux agents payeurs suisses dont la part est supérieure à 0,01 %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applicable. 2 Le montant non compensé de l'avance est réparti entre les agents payeurs suisses en fonction de leur part. Si l'un d'eux a versé une contribution à l'avance, la différence entre la contribution versée et les montants virés selon l'art. 26, al. 7, est déduite de leur part.</w:t>
      </w:r>
    </w:p>
    <w:p>
      <w:r>
        <w:rPr>
          <w:b/>
        </w:rPr>
        <w:t>E. 3.8</w:t>
      </w:r>
    </w:p>
    <w:p>
      <w:r>
        <w:t>Selon l'art. 36 al. 1 LISint: « 1 L'AFC contrôle l'exécution des obligations des agents payeurs suisses liées à l'application de l'accord. 2 Pour élucider les faits, elle peut: a. examiner sur place les livres de l'agent payeur suisse, les pièces justificatives et tout autre document ou en exiger la production; b. requérir des renseignements oralement ou par écrit; c. entendre les représentants de l'agent payeur suisse.</w:t>
      </w:r>
    </w:p>
    <w:p>
      <w:r>
        <w:rPr>
          <w:b/>
        </w:rPr>
        <w:t>E. 4</w:t>
      </w:r>
    </w:p>
    <w:p>
      <w:r>
        <w:t>En l'espèce, la recourante conteste le calcul de la participation à la perte, et soutient qu'il ne doit pas être tenu compte d'un correctif intervenu en juin 2010 en lien avec les retenues d'impôts sur le paiement d'intérêts effectués au cours des années 2006 à 2009 (2005 à 2009 selon le Rapport de révision du 30 juin 2010, cf. pièce AFC n°12). Elle soutient à cet égard, que la jurisprudence du TF a exclu les corrections intervenues après la signature de l'Accord GB et que donc a fortiori aucune donnée antérieure ne devrait être utilisée. En outre, la prise en compte des éventuelles erreurs commises par l'agent payeur sur des années antérieures à 2010 ne peut être la solution voulue par le législateur vu les incertitudes et l'inégalité de traitement qui en résulteraient. Cette approche serait par ailleurs également confirmée par le principe de l'auto-taxation applicable ici du fait qu'en cas de reprise fiscale, celle-ci ne peut être attachée qu'à la période fiscale contrôlée et donc n'avoir un impact que sur cette même période.</w:t>
      </w:r>
    </w:p>
    <w:p>
      <w:r>
        <w:rPr>
          <w:b/>
        </w:rPr>
        <w:t>E. 4.1</w:t>
      </w:r>
    </w:p>
    <w:p>
      <w:r>
        <w:t>Il sied de relever que la Cour de céans a déjà procédé à l'interprétation de l'art. 28 al. 1 LISint dans le cadre d'une autre affaire qui consistait à déterminer si la part de l'agent payeur était supérieure à 0.01% de la retenue d'impôt prélevée en lien avec l'Etat partenaire selon l'accord sur la fiscalité de l'épargne (cf. arrêt du TAF A-790/2016 du 29 juin 2016, confirmé par l'arrêt du TF 2C_654/2016 du 17 mars 2017).</w:t>
      </w:r>
    </w:p>
    <w:p>
      <w:r>
        <w:rPr>
          <w:b/>
        </w:rPr>
        <w:t>E. 4.2</w:t>
      </w:r>
    </w:p>
    <w:p>
      <w:r>
        <w:t>En premier lieu, la Cour de céans a retenu dans son arrêt de 2016 que la période déterminante par la retenue d'impôt était certes l'année 2010 (« [...] das Steuerjahr 2010 für die Bemessung des Steuerrückbehaltes massgebend ist [...] » cf. arrêt du TAF A-790/2016 du 29 juin 2016 consid. 4.1 et 6.2), tout en précisant que le calcul effectué par l'autorité inférieure ne prêtait pas le flanc à la critique: « Vor diesem Hintergrund hat die Vorinstanz bei ihrer Berechnung des von der Beschwerdeführerin zu bezahlenden Betrages vom gesamten Steuerrückbehalt 2010 betreffend das Vereinigte Königreich (Fr. 24'511'416.85) zu Recht das Total des Steuerrückbehaltes abzogen, das auf die für den Ausfall nicht zahlungspflichtigen Zahlstellen entfällt (Abzug von Fr. 69'036.73). In rechnerischer Hinsicht wird der angefochtene Einspracheentscheid im Übrigen zu Recht nicht beanstandet » (cf. arrêt du TAF A-790/2016 du 29 juin 2016 consid. 6.2 in fine). Le TF l'a d'ailleurs confirmé: « Die Vorinstanz hat demnach zu Recht das Vorgehen der ESTV geschützt, welche der Berechnung, ob die Beschwerdeführerin in den Kreis der an der Ausfallregelung zu beteiligenden Zahlstellen fällt, die von dieser gemeldeten Steuerrückbehalte zugrunde legte » (arrêt du TF 2C_654/2016 du 17 mars 2017 consid. 3.6).</w:t>
      </w:r>
    </w:p>
    <w:p>
      <w:r>
        <w:rPr>
          <w:b/>
        </w:rPr>
        <w:t>E. 4.3.1</w:t>
      </w:r>
    </w:p>
    <w:p>
      <w:r>
        <w:t>En second lieu, il sied de rappeler que, dans ce même arrêt, le Tribunal de céans a considéré que la volonté du législateur était sans équivoque et correspondait au texte clair de la loi, en ce sens qu'aucune modification postérieure à la signature de l'Accord GB le 6 octobre 2011 ne pouvait être prise en compte pour déterminer la part de 0.01% lorsque des corrections émanent de l'agent payeur (cf. arrêt du TAF A-790/2016 du 29 juin 2016 consid. 3 et 4 pour l'interprétation détaillée de l'art. 28 LISint; confirmé par l'arrêt du TF 2C_654/2016 du 17 mars 2017). Dans ce contexte, le TF a précisément indiqué que pour le calcul de la part à la perte (art. 28 al. 2 LISint), l'AFC était fondée à s'appuyer uniquement sur la statistique officielle des retenues annoncées pour 2010 et non pas sur le montant effectif de la retenue d'impôt, car sinon cela amènerait l'autorité fiscale à entreprendre deux calculs (« Auch bezüglich der konkreten Berechnung des Ausfalls könnte der von der Beschwerdeführerin vertretene Ansatz eine theoretische Vorgehensmöglichkeit darstellen, was immerhin bedeuten würde, dass die ESTV zwei Berechnungen vornehmen müsste, nämlich einerseits eine erste aufgrund der gemeldeten statistischen Angaben sowie eine zweite aufgrund der effektiven, korrigierten und kontrollierten Abrechnungen der Zahlstellen. Abgesehen davon, dass dies - wie eben ausgeführt - weder mit dem Wortlaut der Bestimmung noch deren Entstehungsgeschichte in Einklang steht, sind keinerlei Anhaltspunkte ersichtlich, wonach eine solche Lösung dem Zweck der Regelung besser entsprechen würde », cf. arrêt du TF 2C_654/2016 du 17 mars 2017 consid. 4).</w:t>
      </w:r>
    </w:p>
    <w:p>
      <w:r>
        <w:rPr>
          <w:b/>
        </w:rPr>
        <w:t>E. 4.3.2</w:t>
      </w:r>
    </w:p>
    <w:p>
      <w:r>
        <w:t>Le TF a en outre retenu que l'interprétation de l'art. 28 al. 2 LISint correspondait à celle de l'art. 28 al. 1 LISint (« Aus der Entstehungsgeschichte der Regelung ergibt sich, dass mit dem Anteil nach Absatz 2 genau dasselbe gemeint ist, wie mit dem Anteil nach Absatz 1 », cf. arrêt du TF 2C_654/2016 du 17 mars 2017 consid. 4) et que la volonté du législateur était de s'en tenir au texte de la loi (« Die Vorinstanz hat sich mit der Entstehungsgeschichte von Art. 28 Abs. 1 IQG einlässlich auseinandergesetzt und dargelegt, dass im Rahmen des historischen Auslegungselements einzig entscheidend sei, ob sich den Materialien Hinweise für die Annahme entnehmen lassen, dass der Gesetzgeber eine Abweichung vom klaren Wortlaut wollte. Solche Hinweise würden nicht vorliegen », cf. arrêt du TF 2C_654/2016 du 17 mars 2017 consid. 3.5.1). A toutes fins utiles, il sera rappelé que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138 II 536 consid. 5.4.3; 131 I 394 consid. 3.2).</w:t>
      </w:r>
    </w:p>
    <w:p>
      <w:r>
        <w:rPr>
          <w:b/>
        </w:rPr>
        <w:t>E. 4.4</w:t>
      </w:r>
    </w:p>
    <w:p>
      <w:r>
        <w:t>Le montant de CHF 24'511'416.85 qui sert de base de calcul pour répartir la perte entre les agents payeurs découle du produit de la retenue de l'impôt UE conformément à l'ancien Accord du 26 octobre 2004 entre la Confédération suisse et la Communauté européenne prévoyant des mesures équivalentes à celles prévues dans la directive 2003/48/CE du Conseil en matière de fiscalité des revenus de l'épargne sous forme de paiements d'intérêts (RO 2005 2571, ci-après: AFisE) pour l'année 2010 qui s'élevait à CHF 18'383'562.64 pour le Royaume-Uni (cf. https://www.newsd.admin.ch/newsd/message/attachments/23324.pdf, consulté le 01.11.2021). La somme précitée correspond au 75% de la recette générée de la retenue de l'impôt, étant donné que la Suisse conserve le 25% (art. 8 al. 1 AFisE). Il découle de ce qui précède que le montant de CHF 24'511'416.85 correspondait au 100% (art. 8 al. 1 AFisE). Pour rappel, de ce montant, la part afférente aux agents payeurs dont la part est inférieure à 0.01% est déduite, soit CHF 69'036.73, arrêtant ainsi le montant de référence pour la répartition de la perte à CHF 24'442'380.12.</w:t>
      </w:r>
    </w:p>
    <w:p>
      <w:r>
        <w:rPr>
          <w:b/>
        </w:rPr>
        <w:t>E. 4.5</w:t>
      </w:r>
    </w:p>
    <w:p>
      <w:r>
        <w:t>Il ressort des explications fournies par l'AFC dans sa réponse du 15 août 2018, qui renvoie à sa décision sur réclamation du 7 juin 2018, que la base de calcul est définie pour l'ensemble des agents payeurs en fonction des montants de retenues d'impôts UE selon l'AFisE comptabilisés et transférés la dernière année avant la signature de l'accord, soit en juin 2011. Or, ce transfert comprendrait, à l'instar des années précédentes, l'ensemble des montants décomptés sur la période du 1er juin 2010 au 31 mai 2011, soit non seulement les montants déclarés par le biais du formulaire 150, mais également les écritures correctives intervenues durant cette période de référence. On peut certes se demander si cette manière de procéder est correcte. A première vue, une lecture littérale de l'art. 28 LISint peut conduire à penser que le calcul des pertes devrait être uniquement réalisé à partir des données fournies en 2010, plus les éventuelles corrections concernant l'année 2010 qui auraient pu être prises en compte avant la date du 6 octobre 2011 correspondant à la signature de l'Accord GB. Mais ce serait oublier deux éléments déterminants pour l'analyse du cas d'espèce: premièrement, le fait que le chiffre de référence pour le calcul de la répartition de la perte entre les agents payeurs, soit CHF 24'442'380.12, a été confirmé et par la Cour de céans et par le TF (cf. consid. 4.2, supra); deuxièmement, l'aspect forfaitaire que présente le calcul de la participation aux pertes, tel que déterminé par le législateur selon ce qu'a retenu le TF dans son jugement précité du 17 mars 2017 («Aus der Regelung betreffend die Vergangenheitsregularisierung - insbesondere aus dem Umstand, dass die schweizerischen Zahlstellen Vorauszahlungen leisten müssen, diese im Rahmen einer Selbstregulierung selber festlegen können und die ESTV (soweit der im Abkommen festgelegte Betrag am Stichtag nicht vollständig geleistet ist) Zahlungsverfügungen für den Fehlbetrag basierend auf statistischen Angaben festsetzen kann (vgl. Art. 26 IQG, insb. Abs. 5) - ergibt sich jedoch, dass das Gesetz in Bezug auf die Vergangenheitsregularisierung offensichtlich einem Pauschalierungsansatz folgt und nicht die Lastenverteilung aufgrund der effektiven - und allenfalls nachträglich kontrollierten und korrigierten - Kundenbeziehungen im Fokus hat. Dieser Schluss wird auch durch die entsprechende Ausgestaltung der Ausfallregelung bestätigt, ist doch auch dort explizit von statistischen Angaben die Rede (vgl. Art. 28 Abs. 1 IQG) », cf. arrêt du TF 2C_654/2016 du 17 mars 2017 consid. 3.5.2). Par conséquent, à partir du moment où il ne s'agit pas de s'appuyer sur le montant effectif de la retenue pour 2010, mais sur les valeurs statistiques officielles publiées par l'AFC (cf. consid. 4.3.1 supra), qu'il puisse y avoir une certaine inégalité de traitement entre les agents payeurs qui ont été contrôlés en 2010 avec reprise à la clé (entrainant ainsi une augmentation proportionnelle de leur taux de participation aux pertes) et ceux qui n'ont pas fait l'objet d'un contrôle au cours de la même année est supporté par l'aspect forfaitaire découlant du système voulu par le législateur.</w:t>
      </w:r>
    </w:p>
    <w:p>
      <w:r>
        <w:rPr>
          <w:b/>
        </w:rPr>
        <w:t>E. 4.6</w:t>
      </w:r>
    </w:p>
    <w:p>
      <w:r>
        <w:t>En effet, comme déjà relevé à plusieurs reprises, le but poursuivi par le calcul de l'art. 28 LISint n'est pas de déterminer la part exacte de chaque agent payeur mais, au contraire, uniquement de disposer rapidement d'un montant approximatif correspondant aux parts de marché, comme l'a relevé à juste titre l'autorité inférieure (cf. réponse p. 2; FF 2012 4555, 4636). Cette solution présente l'avantage de permettre à l'AFC de disposer rapidement des données nécessaires pour répartir le solde de l'avance entre les agents payeurs et de l'encaisser dans les meilleurs délais. La clé de répartition n'est pas manipulable puisque les données statistiques sur lesquelles elle s'appuie se rapportent à une période antérieure à la signature de l'accord applicable (cf. FF 2012 4555, 4636; consid. 4.3.1 supra). Ainsi, il apparait que les éventuelles disparités pouvant exister entre les différents agents payeurs ayant subi un contrôle ou non découlent de la volonté du législateur. En effet, il convient de préciser ici que l'exécution de contrôles est conforme à la législation applicable (art. 36 LISint; art. 8 LFisE). Or, le caractère aléatoire des contrôles induit forcément des différences entre les agents payeurs, qui - en raison du principe de l'économie de perception et faute de moyens suffisants de la part de l'AFC - ne peuvent être tous systématiquement contrôlés chaque année. A toutes fins utiles, la Cour de céans a, par ailleurs, exclu que cette manière de procéder puisse violer le principe d'égalité (art. 8 Cst.) sous trois angles différents impliquant les agents payeurs (cf. arrêt du TAF A-790/2016 du 29 juin 2016 consid. 4.6.1).</w:t>
      </w:r>
    </w:p>
    <w:p>
      <w:r>
        <w:rPr>
          <w:b/>
        </w:rPr>
        <w:t>E. 4.7</w:t>
      </w:r>
    </w:p>
    <w:p>
      <w:r>
        <w:t>Le calcul des sommes corrigées pour les années 2006 à 2009 (2005 à 2009 selon le Rapport de révision du 30 juin 2010, cf. pièce AFC n°12) et intégré dans le résultat de l'année 2010 n'est pas remis en question par la recourante. Elle conteste uniquement le fait que ces montants aient été pris en compte pour le calcul de la participation à la perte. A suivre toutefois le raisonnement de la recourante, à savoir de déduire les rattrapages des années 2006 à 2009 du montant inscrit dans le formulaire 150, on devrait alors également revoir à la baisse le montant total des retenues de l'impôt 2010 pour le Royaume-Uni de CHF 24'511'416.85 comprenant lesdits rattrapages. En effet, si on ne le fait pas, les autres agents payeurs supporteraient alors une charge proportionnellement plus importante. Or, pour rappel, le montant de CHF 24'511'416.85 a été arrêté par l'autorité inférieure et confirmé par le Tribunal et le TF (cf. consid. 4.2 supra).</w:t>
      </w:r>
    </w:p>
    <w:p>
      <w:r>
        <w:rPr>
          <w:b/>
        </w:rPr>
        <w:t>E. 5</w:t>
      </w:r>
    </w:p>
    <w:p>
      <w:r>
        <w:t>Les considérants qui précèdent conduisent le Tribunal de céans à rejeter le recours déposé le 6 juillet 2018 contre la décision sur réclamation de l'autorité inférieure du 7 juin 2018. Vu l'issue de la cause, les frais de procédure, d'un montant total de 10'500 francs, sont mis à la charge de la recourante, en application de l'art. 63 al. 1 PA et des art. 1 ss du Règlement du 21 février 2008 concernant les frais, dépens et indemnités fixés par le Tribunal administratif fédéral (FITAF, RS 173.320.2). Ce montant est prélevé sur l'avance des frais présumés de procédure du même montant déjà versée. Une indemnité à titre de dépens n'est allouée ni à la recourante (cf. art. 64 al. 1 PA a contrario et art. 7 al. 1 FITAF a contrario), ni à l'autorité inférieure (cf. art. 7 al. 3 FITAF).</w:t>
      </w:r>
    </w:p>
    <w:p>
      <w:r>
        <w:rPr>
          <w:b/>
        </w:rPr>
        <w:t>E. 6</w:t>
      </w:r>
    </w:p>
    <w:p>
      <w:r>
        <w:t>La présente décision est rendue dans le cadre d'un litige de droit interne suisse sans aucune élément d'extranéité. Il convient ainsi d'appliquer les règles générales applicables aux recours en matière de droit public (cf. arrêt du TF 2C_654/2016 du 17 mars 2017 consid. 1.2.3; art. 82 LTF; art. 84a LTF et 100 al. 2 let. b LTF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