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A-3935/2018 vom 10. Oktober 2018</w:t>
      </w:r>
    </w:p>
    <w:p>
      <w:r>
        <w:t>Bundesverwaltungsgericht, 2018-10-10, DE</w:t>
      </w:r>
    </w:p>
    <w:p>
      <w:r>
        <w:rPr>
          <w:b/>
        </w:rPr>
        <w:t xml:space="preserve">Quelle: </w:t>
      </w:r>
      <w:r>
        <w:t>https://mcp.opencaselaw.ch/entscheid/bvger_A-3935_2018</w:t>
      </w:r>
    </w:p>
    <w:p>
      <w:r>
        <w:t>FR: TAF A-3935/2018 du 10 octobre 2018</w:t>
      </w:r>
    </w:p>
    <w:p>
      <w:r>
        <w:t>IT: TAF A-3935/2018 del 10 ottobre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des Bundesgesetzes vom 25. Juni 1982 über die berufliche Alters-, Hinterlassenen- und Invalidenvorsorge [BVG; SR 831.40]).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Der Beschwerdeführer ist zur Erhebung der vorliegenden Beschwerde berechtigt (Art. 48 Abs. 1 VwVG). Auf die im Übrigen frist- und formgerecht eingereichte Beschwerde (Art. 50 Abs. 1 und Art. 52 Abs. 1 VwVG) ist demnach einzutreten.</w:t>
      </w:r>
    </w:p>
    <w:p>
      <w:r>
        <w:rPr>
          <w:b/>
        </w:rPr>
        <w:t>E. 1.3.1</w:t>
      </w:r>
    </w:p>
    <w:p>
      <w:r>
        <w:t>Anfechtungsobjekt des vorliegenden Verfahrens ist die vorinstanzliche Verfügung vom 6. Juni 2018. Mit dieser wurde einerseits der mit Anschlussverfügung vom 16. März 2018 festgestellte Zwangsanschluss per 1. Januar 2016 aufgehoben und andererseits neu ein Zwangsanschluss per 1. Januar 2017 festgestellt. Zwar nicht in förmlicher, aber in materieller Sicht wurde damit erstere Verfügung aufgehoben und die für den Zwangsanschluss insgesamt nur einmal erhobenen Kosten von Fr. 825.-- in der späteren Verfügung bestätigt. Die vorliegende Beschwerde richtet sich nach richtiger Leseart gegen den per 1. Januar 2017 festgestellten Zwangsanschluss und die auferlegten Kosten von Fr. 825.--.</w:t>
      </w:r>
    </w:p>
    <w:p>
      <w:r>
        <w:rPr>
          <w:b/>
        </w:rPr>
        <w:t>E. 1.3.2</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1.4.1</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(zum Ganzen: Moser et al., a.a.O., Rz. 1.49, mit weiteren Hinweisen). Die Beschwerdeinstanz ist jedenfalls nicht verpflichtet, über die tatsächlichen Vorbringen der Parteien hinaus den Sachverhalt vollkommen neu zu erforschen (BGE 122 V 157 E. 1a, BGE 121 V 204 E. 6c; BVGE 2007/27 E. 3.3; vgl. Urteile des BVGer A-5832/2016 vom 18. April 2017 E. 1.6.1 und A-1746/2016 vom 17. Januar 2017 E. 1.4; Moser et al., a.a.O., Rz. 1.52).</w:t>
      </w:r>
    </w:p>
    <w:p>
      <w:r>
        <w:rPr>
          <w:b/>
        </w:rPr>
        <w:t>E. 1.4.2</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 et al.,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A-5063/2017 vom 21. März 2018 E. 1.4.2 und A-5832/2016 vom 18. April 2017 E. 1.6.2, mit weiteren Hinweisen; Moser et al., a.a.O., Rz. 3.149 ff.).</w:t>
      </w:r>
    </w:p>
    <w:p>
      <w:r>
        <w:rPr>
          <w:b/>
        </w:rPr>
        <w:t>E. 1.5.1</w:t>
      </w:r>
    </w:p>
    <w:p>
      <w:r>
        <w:t>Aufgrund des aus dem Anspruch auf rechtliches Gehör (Art. 29 Abs. 2 BV) fliessenden Rechts auf einen begründeten Entscheid muss dieser so abgefasst sein, dass der Betroffene ihn sachgerecht anfechten kann (vgl. Art. 35 Abs. 1 VwVG).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(vgl. BGE 136 I 184 E. 2.2.1; Urteile des BVGer A-1232/2017 vom 31. Januar 2018 E. 2.6 und A-4026/2016 vom 7. März 2017 E. 3.1, mit weiteren Hinweisen; Michele Albertini, Der verfassungsmässige Anspruch auf rechtliches Gehör im Verwaltungsverfahren des modernen Staates, 2000, S. 403 f., mit Hinweisen). Welchen Anforderungen eine Begründung zu genügen hat, ist im Einzelfall anhand der konkreten Umstände und der Interessen der Betroffenen fest-zulegen. Die notwendige Begründungsdichte ist dabei insbesondere ab-hängig von der Entscheidungsfreiheit der Behörde, der Eingriffsintensität des Entscheids sowie der Komplexität des Sachverhalts und der sich stellenden Rechtsfragen (BGE 142 II 324 E. 3.6 und BGE 129 I 232 E. 3.3; Urteil des BVGer A-4026/2016 vom 7. März 2016 E. 3.1, mit weiterem Hinweis).</w:t>
      </w:r>
    </w:p>
    <w:p>
      <w:r>
        <w:rPr>
          <w:b/>
        </w:rPr>
        <w:t>E. 1.5.2</w:t>
      </w:r>
    </w:p>
    <w:p>
      <w:r>
        <w:t>Bei Verstössen gegen die behördliche Begründungspflicht wird der Mangel als behoben erachtet, wenn die Rechtsmittelbehörde sowohl den Sachverhalt als auch die Rechtslage frei überprüfen kann und entweder diese Rechtsmittelinstanz eine hinreichende Begründung gibt oder die unterinstanzliche Behörde im Rahmen des Beschwerdeverfahrens eine genügende Begründung nachschiebt (vgl. Urteile des BVGer A-1232/2017 vom 31. Januar 2018 E. 2.7 und A-6813/2016 vom 30. August 2017 E. 1.4, mit weiteren Hinweisen; vgl. auch Lorenz Kneubühler, Die Begründungspflicht, 1998, S. 214).</w:t>
      </w:r>
    </w:p>
    <w:p>
      <w:r>
        <w:rPr>
          <w:b/>
        </w:rPr>
        <w:t>E. 1.6</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A-4594/2017 vom 13. März 2018 E. 1.7.2).</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BVV 2 erzielen. Dieser Mindestlohn wurde bisher verschiedene Male der Entwicklung in der AHV angepasst (vgl. Art. 9 BVG und statt vieler: Urteile des BVGer A-5081/2014 vom 16. Februar 2016 E. 2.1.2 und C-3706/2015 vom 29. Januar 2016 E. 2.1). Im vorliegend relevanten Zeitraum lag die Schwelle bei Fr. 21'150.-- (AS 2014 3343). Ist eine arbeitnehmende Person weniger als ein Jahr lang bei einem Arbeitgebenden beschäftigt, so gilt derjenige Lohn, den sie bei ganzjähriger Beschäftigung erzielen würde, als Jahreslohn (Art. 2 Abs. 2 BVG). In Bezug auf die Ermittlung des massgebenden Lohnes im konkreten Fall ist die Vorinstanz jeweils an die Lohnbescheinigungen der zuständigen Ausgleichskasse gebunden (Urteil des BVGer A-4594/2017 vom 13. März 2018 E. 2.1.4, mit Hinweis).</w:t>
      </w:r>
    </w:p>
    <w:p>
      <w:r>
        <w:rPr>
          <w:b/>
        </w:rPr>
        <w:t>E. 2.1.3</w:t>
      </w:r>
    </w:p>
    <w:p>
      <w:r>
        <w:t>Gemäss Art. 2 Abs. 4 BVG obliegt es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(vgl. Urteil des BVGer A-4594/2017 vom 13. März 2018 E. 2.1.5, mit Hinweis).</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2.3.1</w:t>
      </w:r>
    </w:p>
    <w:p>
      <w:r>
        <w:t>Die Auffangeinrichtung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 Der Zwangsanschluss erfolgt in der Regel unbefristet. Ein befristeter Anschluss wird in der Praxis (nur) dann verfügt, wenn sich ein Arbeitgeber zwar einer Vorsorgeeinrichtung angeschlossen hat, für eine bestimmte Zeitspanne aber eine Lücke besteht (vgl. Urteil des BVGer A-7265/2016 vom 3. Mai 2017 E. 2.2, mit weiterem Hinweis).</w:t>
      </w:r>
    </w:p>
    <w:p>
      <w:r>
        <w:rPr>
          <w:b/>
        </w:rPr>
        <w:t>E. 2.3.2</w:t>
      </w:r>
    </w:p>
    <w:p>
      <w:r>
        <w:t>Eine besondere Konstellation wird in Art. 60 Abs. 2 Bst. d BVG angesprochen: Gemäss Art. 12 Abs. 1 BVG haben die Arbeitnehmenden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Arbeitnehmenden auf Versicherungs- oder Freizügigkeitsleistung zu einem Zeitpunkt, an dem sein Arbeitgeber noch keiner Vorsorgeeinrichtung angeschlossen ist, so wird der Arbeitgeber «von Gesetzes wegen für alle dem Obligatorium unterstellten Arbeitnehmenden der Auffangeinrichtung angeschlossen» (Art. 2 Abs. 1 der Verordnung vom 28. August 1985 über die Ansprüche der Auffangeinrichtung der beruflichen Vorsorge [SR 831.434; nachfolgend: VOAA]; BGE 129 V 237 E. 5.1; Urteil des BVGer C-2225/2012 vom 19. November 2013 E. 3.2.2; zum Ganzen: Urteile des BVGer A-5063/2017 vom 21. März 2018 E. 2.3.2 und A-1232/2017 vom 31. Januar 2018 E. 4.4). 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Das Eidgenössische Versicherungsgericht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 (Urteil des BVGer A-1232/2017 vom 31. Januar 2018 E. 4.5, mit weiteren Hinweisen). Wie der Zwangsanschluss nach Art. 60 Abs. 2 Bst. a BVG und der freiwillige Anschluss nach Art. 60 Abs. 2 Bst. b BVG gilt der Anschluss nach Art. 60 Abs. 2 Bst. d BVG rückwirkend auf den Zeitpunkt, in welchem zu versicherndes Personal erstmals seine Stelle antritt (E. 2.2.1, Art. 3 Abs. 1 VOAA; Urteil des BVGer A-4204/2016 vom 8. März 2017 E. 2.2.3).</w:t>
      </w:r>
    </w:p>
    <w:p>
      <w:r>
        <w:rPr>
          <w:b/>
        </w:rPr>
        <w:t>E. 2.4.1</w:t>
      </w:r>
    </w:p>
    <w:p>
      <w:r>
        <w:t>Gemäss Art. 11 Abs. 7 BVG stellen die Auffangeinrichtung und die AHV-Ausgleichskasse dem säumigen Arbeitgeber den von ihm verursachten Verwaltungsaufwand in Rechnung. Dies wird auch in Art. 3 Abs. 4 VOAA erwähnt, wonach der Arbeitgeber der Auffangeinrichtung alle Aufwendungen zu ersetzen hat, die dieser in Zusammenhang mit seinem Anschluss entstehen. Detailliert geregelt sind die entsprechenden Kosten sodann im Kostenreglement der Auffangeinrichtung (vorliegend in der Fassung vom 1. Januar 2018). Dieses Reglement sieht unter der Rubrik «Zwangsanschluss» für «Verfügung und Durchführung Zwangsanschluss» Kosten von Fr. 825.-- vor.</w:t>
      </w:r>
    </w:p>
    <w:p>
      <w:r>
        <w:rPr>
          <w:b/>
        </w:rPr>
        <w:t>E. 2.4.2</w:t>
      </w:r>
    </w:p>
    <w:p>
      <w:r>
        <w:t>Nach der Rechtsprechung des Bundesverwaltungsgerichts ist es unabhängig davon, ob die erwähnte Regelung des Kostenreglements anwendbar ist, aufgrund des Kostendeckungs- und Äquivalenzprinzips zulässig, dass die Auffangeinrichtung bei einem Anschluss im Sinne von Art. 60 Abs. 2 Bst. d BVG je separat ausgewiesene Kosten von Fr. 450.-- für die Verfügung und von Fr. 375.-- für den Zwangsanschluss in Rechnung stellt (vgl. Urteile des BVGer A-4594/2017 vom 13. März 2018 E. 2.4.2, A-6813/2016 vom 30. August 2017 E. 3.9 und A-6967/2016 vom 12. Mai 2017 E. 3.2.2 f.).</w:t>
      </w:r>
    </w:p>
    <w:p>
      <w:r>
        <w:rPr>
          <w:b/>
        </w:rPr>
        <w:t>E. 3</w:t>
      </w:r>
    </w:p>
    <w:p>
      <w:r>
        <w:t>Im vorliegenden Fall gilt es zu prüfen, ob die Vorinstanz mittels angefochtener Verfügung vom 6. Juni 2018 zu Recht festgestellt hat, dass der Arbeitgeber seit dem 1. Januar 2017 der Auffangeinrichtung zwangsweise angeschlossen ist.</w:t>
      </w:r>
    </w:p>
    <w:p>
      <w:r>
        <w:rPr>
          <w:b/>
        </w:rPr>
        <w:t>E. 3.1</w:t>
      </w:r>
    </w:p>
    <w:p>
      <w:r>
        <w:t>Unbestrittenermassen war der Beschwerdeführer im Jahr 2017 keiner Vorsorgeeinrichtung angeschlossen. Somit ist als erstes der Frage nachzugehen, ob eine Versicherungspflicht bestand:</w:t>
      </w:r>
    </w:p>
    <w:p>
      <w:r>
        <w:rPr>
          <w:b/>
        </w:rPr>
        <w:t>E. 3.1.1</w:t>
      </w:r>
    </w:p>
    <w:p>
      <w:r>
        <w:t>Der Beschwerdeführer bringt vor, der ursprünglich falsch deklarierte Lohn von C._______ für das Jahr 2016 sei mittlerweile von der Ausgleichskasse «nach unten» korrigiert worden. In der Verfügung vom 6. Juni 2018 sei festgehalten worden, dass für das Jahr 2016 keine Versicherungspflicht mehr bestehe, wobei nicht begründet worden sei, weshalb nun neu ein Zwangsanschluss ab 1. Januar 2017 verfügt wurde. Es fehle eine Auseinandersetzung mit der der Ausgleichskasse vorliegenden Lohnmeldung für das Jahr 2017, aus welcher entnommen werden könne, dass keine Löhne verzeichnet seien, welche die Eintrittsschwelle überschreiten würden und der Beschwerdeführer im Jahr 2017 folglich keine BVG-pflichtigen Arbeitnehmer beschäftigt habe. Da der Zwangsanschluss zu Unrecht erfolgt sei, müsse der Beschwerdeführer auch die festgelegten Kosten [in Höhe von Fr. 825.--] nicht bezahlen (vgl. Sachverhalt Bst. D).</w:t>
      </w:r>
    </w:p>
    <w:p>
      <w:r>
        <w:rPr>
          <w:b/>
        </w:rPr>
        <w:t>E. 3.1.2</w:t>
      </w:r>
    </w:p>
    <w:p>
      <w:r>
        <w:t>Die Vorinstanz macht in der Vernehmlassung namentlich geltend, die massgeblichen Lohnbescheinigungen der Ausgleichskasse für C._______ hätten ergeben, dass er für die Jahre 2015 bis und mit 2017 nicht der Versicherungspflicht in der beruflichen Vorsorge unterliege. Aus jenen für D._______ hätte sich hingegen ergeben, dass im Jahr 2017 bei der bei unterjähriger Beschäftigung gesetzlich vorgesehenen Hochrechnung auf einen Jahreslohn die Eintrittsschwelle zur Versicherungspflicht überschritten worden sei. Sein Lohn vom 1. Januar bis 31. August 2017 habe gemäss Lohnbescheinigung 2017 Fr. 18'986.-- betragen; dies ergebe ein aufgerechnetes Jahreseinkommen von Fr. 28'479.-- (Fr. 18'986.-- / 8 × 12). In ihrem damaligen Anmeldeformular betreffend D._______ seien sie noch von einem Jahreslohn von Fr. 32'547.56 (Fr. 18'986.-- / 7 × 12) ausgegangen. Da bei beiden Berechnungsarten ein Jahreseinkommen über der Eintrittsschwelle resultiere, könne die konkrete Ermittlung offengelassen werden. In ihrer Verfügung vom 6. Juni 2018 hätte sie zwar nicht explizit auf D._______ Bezug genommen, aus Dokumenten, welche im Zeitpunkt der Verfügung aber bereits vorgelegen hätten, hätten die notwendigen Informationen zur inhaltlichen Beurteilung entnommen werden können. Die Begründungspflicht sei folglich nicht verletzt worden. Da bereits Leistungsansprüche eingetreten seien, sei der Zwangsanschluss gemäss Art. 60 Abs. 2 Bst. d BVG per 1. Januar 2017 erfolgt (vgl. Sachverhalt Bst. E).</w:t>
      </w:r>
    </w:p>
    <w:p>
      <w:r>
        <w:rPr>
          <w:b/>
        </w:rPr>
        <w:t>E. 3.1.3</w:t>
      </w:r>
    </w:p>
    <w:p>
      <w:r>
        <w:t>Wie vorangehend in Erwägung 2.2.1 dargelegt, muss ein Arbeitgeber eine in das Register für die berufliche Vorsorge eingetragene Vorsorgeeinrichtung errichten oder sich einer solchen anschliessen, sobald er Arbeitnehmende beschäftigt, die obligatorisch zu versichern sind. Demgemäss reicht für eine Anschlusspflicht die Beschäftigung eines einzigen Arbeitnehmers bzw. einer einzigen Arbeitnehmerin, welche(r) die Voraussetzungen für die obligatorische Versicherung erfüllt (Urteile des BVGer A-5063/2017 vom 21. März 2018 E. 3.1.3 und A-7265/2016 vom 3. Mai 2017 E. 3.2.1). Aus der dem Gericht vorliegenden - massgebenden (vgl. E. 2.1.2) - Lohnbescheinigung 2017 ergibt sich, dass D._______ vom 1. Januar 2017 bis zum 31. August 2017 einen Lohn in Höhe von insgesamt Fr. 18'986.-- bezogen hat. Entsprechend dem in Erwägung 2.1.2 Dargelegten ist in Fällen, in welchen eine arbeitnehmende Person weniger als ein Jahr lang bei einem Arbeitgeber beschäftigt ist, von demjenigen Lohn auszugehen, den sie bei ganzjähriger Beschäftigung erzielen würde. Vorliegend war D._______ bis Ende August 2017 beim Arbeitgeber angestellt. Da er im Monat Juli 2017 offenbar keinen Lohn erzielt hatte, stellt sich die Frage der Berechnungsmethode (also ob von einer Beschäftigung von 7 oder 8 Monaten ausgegangen werden muss). Das Gericht kann (gleich wie auch die Vorinstanz es getan hat) die Frage offen lassen, weil sich nach beiden möglichen Berechnungsmethoden ein Jahreslohn über dem massgebenden Grenzwert für eine BVG-Pflicht ergibt (Fr. 28'479.-- [Fr. 18'986.-- / 8 × 12] bzw. Fr. 32'547.56 [Fr. 18'986.-- / 7 × 12]; vgl. E. 2.1.2). Das Vorliegen eines Ausnahmetatbestands gemäss Art. 1j BVV 2 (vgl. E. 2.1.3) wurde weder vorgebracht noch ergibt sich dergleichen aus den Akten.</w:t>
      </w:r>
    </w:p>
    <w:p>
      <w:r>
        <w:rPr>
          <w:b/>
        </w:rPr>
        <w:t>E. 3.1.4</w:t>
      </w:r>
    </w:p>
    <w:p>
      <w:r>
        <w:t>Nach dem Gesagten steht fest, dass der Beschwerdeführer ab 1. Januar 2017 mindestens eine Person beschäftigt hat, welche der BVG-Pflicht unterstand. Damit wäre er verpflichtet gewesen, sich per 1. Januar 2017 einer registrierten Vorsorgeeinrichtung anzuschliessen bzw. eine solche zu errichten (vgl. E. 2.2.1). An diesem Ergebnis vermag auch das Vorbringen des Beschwerdeführers, die Vorinstanz habe nicht begründet, weshalb nun neu ein Zwangsanschluss ab 1. Januar 2017 verfügt wurde, nichts zu ändern. Zwar nimmt die Vorinstanz in ihrer Verfügung vom 6. Juni 2018 tatsächlich keinen Bezug auf D._______. Aus der Beilage zum Schreiben vom 9. Mai 2018 (vgl. Sachverhalt Bst. B.d) war für den Beschwerdeführer aber ersichtlich, dass die Vorinstanz betreffend D._______ für das Jahr 2017 von einem aufgerechneten Jahreslohn von Fr. 32'547.56 ausging. Selbst unter Annahme eines Verstosses gegen die behördliche Begründungspflicht könnte vorliegend der Mangel als behoben erachtet werden, da das Bundesverwaltungsgericht sowohl den Sachverhalt als auch die Rechtslage frei überprüfen kann (vgl. E. 1.3.2) und die Vorinstanz im Rahmen der Vernehmlassung eine genügende Begründung nachgeschoben hat (vgl. E. 1.5.2).</w:t>
      </w:r>
    </w:p>
    <w:p>
      <w:r>
        <w:rPr>
          <w:b/>
        </w:rPr>
        <w:t>E. 3.2</w:t>
      </w:r>
    </w:p>
    <w:p>
      <w:r>
        <w:t>Nach den dem Gericht vorliegenden Akten hat D._______ das Unternehmen des Beschwerdeführers verlassen, dies Ende August 2017. Damit hat er einen gesetzlichen Anspruch auf eine Freizügigkeitsleistung erworben (vgl. Art. 2 Abs. 1 des Bundesgesetzes vom 17. Dezember 1993 über die Freizügigkeit in der beruflichen Alters-, Hinterlassenen- und Invalidenvorsorge [Freizügigkeitsgesetz, FZG; SR 831.42], wonach Versicherte, welche die Vorsorgeeinrichtung verlassen, bevor ein Vorsorgefall eintritt [Freizügigkeitsfall], Anspruch auf eine Austrittsleistung haben). Es ist somit ein Freizügigkeitsfall eingetreten, bevor sich der Arbeitgeber freiwillig einer Vorsorgeeinrichtung angeschlossen hat. Damit wurde der Beschwerdeführer nach der in Erwägung 2.3.2 genannten Ordnung von Gesetzes wegen - also sozusagen «automatisch» - per Datum des Stellenantrittes des betreffenden Arbeitnehmenden der Auffangeinrichtung angeschlossen.</w:t>
      </w:r>
    </w:p>
    <w:p>
      <w:r>
        <w:rPr>
          <w:b/>
        </w:rPr>
        <w:t>E. 3.3</w:t>
      </w:r>
    </w:p>
    <w:p>
      <w:r>
        <w:t>Unter diesen Umständen erweist sich die angefochtene Verfügung der Vorinstanz vom 6. Juni 2018, mit welcher die Vorinstanz u.a. den zwangsweisen Anschluss des Beschwerdeführers per 1. Januar 2017 feststellt (vgl. E. 1.3.1), als rechtskonform. Zu bestätigen sind auch die dem Beschwerdeführer auferlegten Kosten (vgl. dazu E. 2.4.2), wozu in der Beschwerde denn auch keine Rüge vorgebracht worden ist.</w:t>
      </w:r>
    </w:p>
    <w:p>
      <w:r>
        <w:rPr>
          <w:b/>
        </w:rPr>
        <w:t>E. 3.4</w:t>
      </w:r>
    </w:p>
    <w:p>
      <w:r>
        <w:t>Nach dem Dargelegten ist die Beschwerde vollumfänglich abzuweisen.</w:t>
      </w:r>
    </w:p>
    <w:p>
      <w:r>
        <w:rPr>
          <w:b/>
        </w:rPr>
        <w:t>E. 4</w:t>
      </w:r>
    </w:p>
    <w:p>
      <w:r>
        <w:t>Ausgangsgemäss hat der Beschwerdeführer die Kosten für das Beschwerdeverfahren vor dem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 Dem unterliegenden Beschwerdeführer ist keine Parteientschädigung auszurichten (vgl.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