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A-3902/2015 vom 2. Mai 2016</w:t>
      </w:r>
    </w:p>
    <w:p>
      <w:r>
        <w:t>Bundesverwaltungsgericht, 2016-05-02, IT</w:t>
      </w:r>
    </w:p>
    <w:p>
      <w:r>
        <w:rPr>
          <w:b/>
        </w:rPr>
        <w:t xml:space="preserve">Quelle: </w:t>
      </w:r>
      <w:r>
        <w:t>https://mcp.opencaselaw.ch/entscheid/bvger_A-3902_2015</w:t>
      </w:r>
    </w:p>
    <w:p>
      <w:r>
        <w:t>FR: TAF A-3902/2015 du 2 mai 2016</w:t>
      </w:r>
    </w:p>
    <w:p>
      <w:r>
        <w:t>IT: TAF A-3902/2015 del 2 maggio 2016</w:t>
      </w:r>
    </w:p>
    <w:p>
      <w:pPr>
        <w:pStyle w:val="Heading2"/>
      </w:pPr>
      <w:r>
        <w:t>Regeste</w:t>
      </w:r>
    </w:p>
    <w:p>
      <w:r>
        <w:t>Impianto interno</w:t>
      </w:r>
    </w:p>
    <w:p>
      <w:pPr>
        <w:pStyle w:val="Heading2"/>
      </w:pPr>
      <w:r>
        <w:t>Erwägungen</w:t>
      </w:r>
    </w:p>
    <w:p>
      <w:r>
        <w:rPr>
          <w:b/>
        </w:rPr>
        <w:t>E. 1</w:t>
      </w:r>
    </w:p>
    <w:p>
      <w:r>
        <w:t>Secondo l'art. 23 della legge federale del 24 giugno 1902 concernente gli impianti elettrici a corrente forte e a corrente debole (legge sugli impianti elettrici [LIE, RS 734.0]), il Tribunale amministrativo federale giudica i ricorsi contro le decisioni emanate dalle istanze di controllo designate all'art. 21 LIE. L'autorità inferiore (ESTI), sottoposto alla sorveglianza del Dipartimento federale dell'ambiente, dei trasporti, dell'energia e delle comunicazioni (DATEC), è l'autorità di controllo designata dal Consiglio federale ai sensi della cifra 2 di tale disposizione (cfr. Art. 1 dell'ordinanza del 7 dicembre 1992 sull'Ispettorato federale degli impianti a corrente forte [O-IFICF, RS 734.24]). La sua decisione del 29 ottobre 2013 soddisfa le condizioni poste dall'art. 5 della legge federale del 20 dicembre 1968 sulla procedura amministrativa (PA, RS 172.021) e non rientra nel campo d'esclusione dell'art. 32 della legge del 17 giugno 2005 sul Tribunale amministrativo federale (LTAF, RS 173.32). Pertanto, lo scrivente Tribunale è competente per dirimere il presente litigio. Depositato in tempo utile dalla destinataria della decisione impugnata (art. 22 segg., 48 e 50 PA), il ricorso adempie alle esigenze di forma e di contenuto previste all'art. 52 PA. Occorre pertanto entrare nel merito.</w:t>
      </w:r>
    </w:p>
    <w:p>
      <w:r>
        <w:rPr>
          <w:b/>
        </w:rPr>
        <w:t>E. 2</w:t>
      </w:r>
    </w:p>
    <w:p>
      <w:r>
        <w:t>Con ricorso al Tribunale amministrativo federale possono essere invocati la violazione del diritto federale, l'accertamento inesatto o incompleto di fatti giuridicamente rilevanti nonché l'inadeguatezza (art. 49 PA). Lo scrivente Tribunale non è vincolato né dai motivi addotti (art. 62 cpv. 4 PA), né dalle considerazioni giuridiche della decisione impugnata, né dalle argomentazioni delle parti (PIERRE MOOR/ETIENNE POLTIER, Droit administratif, vol. II, 3a ed., Berna 2011, n. 2.2.6.5).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1a; DTF 121 V 204, consid. 6c; ANDRÉ MOSER/MICHAEL BEUSCH/LORENZ KNEUBÜHLER, Prozessieren vor dem Bundesverwaltungsgericht, Basilea 2013, n. 3.198).</w:t>
      </w:r>
    </w:p>
    <w:p>
      <w:r>
        <w:rPr>
          <w:b/>
        </w:rPr>
        <w:t>E. 3</w:t>
      </w:r>
    </w:p>
    <w:p>
      <w:r>
        <w:t>Con atto ricorsuale, l'insorgente ha chiesto di annullare la tassa amministrativa comminata dall'ESTI contestualmente all'emanazione della decisione dell'8 giugno 2015 qui impugnata. A sostegno della propria conclusione la ricorrente ha rilevato di avere inoltrato i rapporti RaSi richiesto al gestore di rete, con conseguente chiusura della partica da parte delle autorità competenti. 4.Secondo l'art. 20 cpv. 1 LIE, la vigilanza sugli impianti elettrici e la cura di verificare se sono in buono stato, appartiene ai loro possessori (proprietario, conduttore, ecc.). Il proprietario o il rappresentante da esso designato deve presentare un rapporto di sicurezza (art. 5 cpv. 1 dell'ordinanza del 7 novembre 2001 concernente gli impianti elettrici a bassa tensione [OIBT, RS 734.27]). Gli organi di controllo indipendenti e i servizi d'ispezione accreditati effettuano controlli tecnici di impianti elettrici su mandato dei proprietari e allestiscono i relativi rapporti di sicurezza (art. 32 cpv. 1 OIBT). I gestori di rete invitano per scritto, almeno sei mesi prima della scadenza di un periodo di controllo (ogni 1, 5, 10 o 20 anni a seconda del tipo di impianto; cfr. allegato all'OIBT), i proprietari degli impianti alimentati dalle loro reti a presentare un rapporto di sicurezza prima della fine del periodo di controllo (art. 36 cpv. 1 OIBT). Questo termine può essere prorogato di un anno al massimo dopo la scadenza del periodo di controllo stabilito (art. 36 cpv. 2 OIBT). Se, dopo due diffide, il rapporto di sicurezza non è stato presentato entro il termine stabilito, il gestore della rete affida all'ESTI l'esecuzione dei controlli periodici (art. 36 cpv. 3 OIBT). In proposito la giurisprudenza ha rilevato che il presupposto per un rinvio della pratica all'ESTI è l'invio, senza riscontro, di tre lettere - la richiesta più due solleciti - da parte del gestore di rete (cfr. Sentenza del Tribunale amministrativo federale A 2470/2010 del 20 luglio 2010 consid. 5.2; e A-5256/2010, dell'11 febbraio 2011, consid. 5). Essi devono forzatamente essere stati ricevuti dal proprietario prima che si possa avviare una procedura quale quella qui in oggetto. Sulla base delle disposizioni sopra menzionate, la responsabilità di assicurare che gli impianti elettrici soddisfino costantemente i requisiti legali spetta al proprietario dell'immobile. Per ogni periodo di controllo, l'utente deve quindi fornirne la prova mediante la presentazione del rapporto di controllo periodico. Se non lo fa o non rispetta i termini comminatigli, ne subirà le conseguenze (cfr. Sentenze del Tribunale amministrativo federale A-6178/2009 del 22 febbraio 2010 consid. 3.2, A 7151/2008 del 10 febbraio 2009 consid. 3.2 e A-6150/2009 del 21 gennaio 2010 consid. 6.3). 5.La ricorrente, per il tramite del proprio patrocinatore, si limita ad evidenziare di avere trasmesso - dopo l'emanazione della decisione soggetta a tassa ammnistrativa - i rapporti RaSi richiesti. In particolare, sebbene patrocinata, essa non allega alcuna violazione del diritto federale o una costatazione errata dei fatti da parte dell'autorità inferiore. Risulta da quanto precede che la decisione, di cui la legalità viene esaminata relativamente al momento della sua emanazione, era totalmente giustificata: la ricorrente si è vista indirizzare numerosi richieste e richiami, rimasti senza riscontro fino ad un momento posteriore all'atto qui impugnato. Inoltre, non vi è traccia e nemmeno la ricorrente lo pretende, circa una mancata o errata notifica dell'avviso e dei richiami da parte del gestore di rete. Stante quanto precede, il ricorso - nella misura in cui è ricevibile - dev'essere respinto e la decisione impugnata confermata. In tale decisione, l'autorità inferiore ha impartito alla ricorrente un termine scadente il 16 agosto 2015 per trasmettere al gestore di rete i rapporti di sicurezza relativo agli impianti elettrici dell'immobile in oggetto. Siccome nel frattempo i rapporti RaSi sono stati presentati, non occorre fissare un nuovo termine. 6.In considerazione dell'esito della lite, giusta l'art. 63 cpv. 1 PA, le spese processuali vanno poste a carico della ricorrente soccombente (art. 1 segg. del regolamento del 21 febbraio 2008 sulle tasse e sulle spese ripetibili nelle cause dinanzi al Tribunale amministrativo federale [TS-TAF; RS 173.320.2]). Nella fattispecie, esse sono stabilite in 600 franchi (art. 4 TS-TAF), importo che viene integralmente compensato con l'anticipo da lei versato il 23 giugno 2015. Con riferimento all'art. 7 cpv. 3 TS-TAF, all'autorità inferiore non viene riconosciuta nessuna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