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A-3845/2007 vom 6. September 2007</w:t>
      </w:r>
    </w:p>
    <w:p>
      <w:r>
        <w:t>Bundesverwaltungsgericht, 2007-09-06, FR</w:t>
      </w:r>
    </w:p>
    <w:p>
      <w:r>
        <w:rPr>
          <w:b/>
        </w:rPr>
        <w:t xml:space="preserve">Quelle: </w:t>
      </w:r>
      <w:r>
        <w:t>https://mcp.opencaselaw.ch/entscheid/bvger_A-3845_2007</w:t>
      </w:r>
    </w:p>
    <w:p>
      <w:r>
        <w:t>FR: TAF A-3845/2007 du 6 septembre 2007</w:t>
      </w:r>
    </w:p>
    <w:p>
      <w:r>
        <w:t>IT: TAF A-3845/2007 del 6 settembre 2007</w:t>
      </w:r>
    </w:p>
    <w:p>
      <w:pPr>
        <w:pStyle w:val="Heading2"/>
      </w:pPr>
      <w:r>
        <w:t>Regeste</w:t>
      </w:r>
    </w:p>
    <w:p>
      <w:r>
        <w:t>Redevances de réception radio et télévision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Conformément à l'art. 63 al. 1 PA, les frais de procédure comprenant l'émolument d'arrêté, les émoluments de chancellerie et les débours sont, en règle générale, mis à la charge de la partie qui succombe. Cependant, il convient de tenir compte des revenus modestes de la recourante, de sorte qu'il est renoncé à percevoir des frais (art. 6 let. b du Règlement du 11 décembre 2006 concernant les frais, dépens et indemnités fixés par le TAF, FITAF, RS 173.320.2). Dans la mesure où la recourante succombe, il n'y a pas lieu de lui allouer de dépens (art. 64 PA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