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A-383/2017 vom 12. Dezember 2017</w:t>
      </w:r>
    </w:p>
    <w:p>
      <w:r>
        <w:t>Bundesverwaltungsgericht, 2017-12-12, DE</w:t>
      </w:r>
    </w:p>
    <w:p>
      <w:r>
        <w:rPr>
          <w:b/>
        </w:rPr>
        <w:t xml:space="preserve">Quelle: </w:t>
      </w:r>
      <w:r>
        <w:t>https://mcp.opencaselaw.ch/entscheid/bvger_A-383_2017</w:t>
      </w:r>
    </w:p>
    <w:p>
      <w:r>
        <w:t>FR: TAF A-383/2017 du 12 décembre 2017</w:t>
      </w:r>
    </w:p>
    <w:p>
      <w:r>
        <w:t>IT: TAF A-383/2017 del 12 dicembre 2017</w:t>
      </w:r>
    </w:p>
    <w:p>
      <w:pPr>
        <w:pStyle w:val="Heading2"/>
      </w:pPr>
      <w:r>
        <w:t>Regeste</w:t>
      </w:r>
    </w:p>
    <w:p>
      <w:r>
        <w:t>Luftfahrtbetrieb</w:t>
      </w:r>
    </w:p>
    <w:p>
      <w:pPr>
        <w:pStyle w:val="Heading2"/>
      </w:pPr>
      <w:r>
        <w:t>Erwägungen</w:t>
      </w:r>
    </w:p>
    <w:p>
      <w:r>
        <w:rPr>
          <w:b/>
        </w:rPr>
        <w:t>E. 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2.1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(statt vieler Urteil des Bundesverwaltungsgerichts [BVGer] A-7166/2016 vom 7. November 2017 E. 1.3 m.H.).</w:t>
      </w:r>
    </w:p>
    <w:p>
      <w:r>
        <w:rPr>
          <w:b/>
        </w:rPr>
        <w:t>E. 2.2</w:t>
      </w:r>
    </w:p>
    <w:p>
      <w:r>
        <w:t>Gegenstand des vorliegenden Verfahrens ist einzig das Schallschutzprogramm 2015, also die umweltschutzrechtliche Verpflichtung zur Ergreifung von Schallschutzmassnahmen innerhalb des mit Verfügung vom 27. Januar 2015 festgelegten Perimeters. Nicht Streitgegenstand sind dagegen die aufgrund des Empa-Berichts festgelegten zulässigen Fluglärmimmissionen sowie die im Empa-Bericht ausgewiesenen Lärmbelastungskurven. Darüber hat die Vorinstanz mit Verfügung vom 27. Januar 2015 für den Betrieb unter dem derzeit geltenden Betriebsreglement 2011 rechtskräftig entschieden (nach dem rechtskräftigen Abschluss des Verfahrens betreffend die Betriebsreglementsänderung 2014 wird die Beschwerdegegnerin das Schallschutzprogramm an den dannzumal festgelegten Perimeter der zulässigen Lärmimmissionen anzupassen haben; vgl. dazu vorstehend Bst. A a.E.). Dieser Entscheid wurde im Bundesblatt publiziert (BBl 2015 1713 f.; vgl. Art. 36 Bst. c VwVG und dazu Urteil des BVGer A-2415/2016 vom 16. Oktober 2017 E. 3.2). Die Beschwerdeführerin macht denn auch nicht geltend, diese Verfügung sei ihr nicht ordnungsgemäss und rechtmässig eröffnet worden. Auf das Rechtsbegehren der Beschwerdeführerin, gewisse Neeracher Dorfteile in den Schallschutzperimeter aufzunehmen, ist deshalb ebenso wenig einzutreten wie auf die Anträge im Zusammenhang mit der Raumplanung und einer allfälligen Totalrevision der örtlichen Nutzungsplanung (Bau- und Zonenordnung). Dasselbe gilt ferner insoweit, als die Beschwerdeführerin damit verbunden Informationsbegehren gegenüber der Vorinstanz und der Beschwerdegegnerin stellt.</w:t>
      </w:r>
    </w:p>
    <w:p>
      <w:r>
        <w:rPr>
          <w:b/>
        </w:rPr>
        <w:t>E. 3.1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Beschwerdelegitimation ist wegen des im Verwaltungsbeschwerdeverfahren geltenden Untersuchungsgrundsatzes von Amtes wegen zu prüfen (Art. 12 VwVG); die beschwerdeführende Person ist jedoch grundsätzlich zur Mitwirkung verpflichtet (vgl. Art. 13 Abs. 1 und Art. 52 VwVG). Es trifft sie die Obliegenheit, ihre Beschwerdeberechtigung - soweit diese nicht offensichtlich gegeben ist - substanziiert darzulegen, das heisst eingehend zu erörtern bzw. zu begründen. Andernfalls ist auf die Beschwerde nicht einzutreten (Urteil des BVGer A-385/2017 vom 21. August 2017 E. 1.2; vgl. ferner statt vieler Urteil des Bundesgerichts 8C_832/2016 vom 12. Oktober 2017 E. 4.1.2; je m.w.H.).</w:t>
      </w:r>
    </w:p>
    <w:p>
      <w:r>
        <w:rPr>
          <w:b/>
        </w:rPr>
        <w:t>E. 3.2</w:t>
      </w:r>
    </w:p>
    <w:p>
      <w:r>
        <w:t>Die Beschwerdeführerin hat sich als Einsprecherin am vorinstanzlichen Verfahren beteiligt. Im Übrigen wird ihre Beschwerdelegitimation von der Beschwerdegegnerin und der Vorinstanz angezweifelt bzw. bestritten. Die Beschwerdeführerin bringt zu ihrer Beschwerdeberechtigung vor, sie nehme hoheitliche kommunale Aufgaben im Zusammenhang mit planerischen Themen wahr, auch im Zusammenhang mit der eingereichten Einsprache vom 14. November 2014 zum Gesuch um Genehmigung einer Änderung des Betriebsreglements des Flughafens Zürichs. Ebenso sei sie für die spätere Totalrevision der Bau- und Zonenordnung auf eine Klärung wichtiger Fragen wie jener des Schallschutzprogramms angewiesen. Sie vertrete überdies wichtige raumplanungs- und umweltrechtliche Interessen und Anliegen ihrer Bevölkerung.</w:t>
      </w:r>
    </w:p>
    <w:p>
      <w:r>
        <w:rPr>
          <w:b/>
        </w:rPr>
        <w:t>E. 3.3</w:t>
      </w:r>
    </w:p>
    <w:p>
      <w:r>
        <w:t>Die Rechtsprechung lässt Gemeinden, die im Umkreis eines Flugplatzes bzw. unter den jeweiligen Flugschneisen liegen, zur Beschwerdeführung zu, soweit sie als Grundeigentümerinnen gleich oder ähnlich wie Private immissionsbelastet sind, durch die Lärmeinwirkungen in hoheitlichen Befugnissen betroffen werden oder wenn es ihnen um spezifische öffentliche Anliegen geht, etwa den Schutz der Einwohner vor Immissionen (statt vieler Urteile des BVGer A-709/2016 vom 23. November 2017 E. 1.2.1 und A-2415/2016 vom 16. Oktober 2017 E. 1.2.4, je m.w.H.). Im vorliegenden Fall ist einzig das mit der angefochtenen Verfügung unter Auflagen genehmigte Schallschutzprogramm 2015 Streitgegenstand. Bestandteil sind die damit verbundenen Schallschutzmassnahmen - namentlich der Einbau von Schallschutzfenstern, die Ausrüstung der Schlafzimmer mit Lüftern ohne Wärmerückgewinnung bzw. alternativ mit einem Fensterschliessmechanismus und die Kostenbeteiligung bei der Sanierung von schalltechnisch ungenügenden Dächern und Fassaden -, verbunden mit einem Vorgehens- und Zeitplan. Dabei handelt es sich weder um durch die Beschwerdeführerin zu vertretende spezifische öffentliche Anliegen noch ist sie in hoheitlichen Befugnissen tangiert. Es sind vielmehr die einzelnen Grundeigentümer und Anwohner im Schallschutzperimeter, die besonders berührt sind und allenfalls ein schutzwürdiges Interesse an einer Änderung oder Aufhebung der angefochtenen Verfügung haben und dieses mit deren Anfechtung hätten geltend machen können und müssen. Wie es sich diesbezüglich mit den von der Beschwerdeführerin vorgebrachten raumplanungs- und umweltrechtlichen Interessen verhält, ist irrelevant, da sie nicht Streitgegenstand sind (vgl. vorstehend E. 2). Dasselbe gilt für das Verfahren betreffend das Gesuch der Beschwerdegegnerin für die Betriebsreglementsänderung 2014. Dass die Beschwerdeführerin schliesslich auch nicht als Grundeigentümerin gleich oder ähnlich wie Private vom Schallschutzprogramm 2015 betroffen ist, räumt sie in ihren Rechtsschriften selbst ausdrücklich ein. Die Beschwerdeführerin ist daher nicht zur Beschwerde legitimiert und auf diese somit auch innerhalb des Streitgegenstandes nicht einzutreten. Etwas anderes ergibt sich auch nicht aus dem von der Beschwerdeführerin angeführten Urteil A-391/2014 vom 14. Oktober 2015. Das Bundesverwaltungsgericht hat dort die Frage, ob die aufseiten der Beschwerdeführenden beteiligten Gemeinden zur Beschwerde berechtigt sind, explizit offengelassen. Dies mit der Begründung, dass unter den Beschwerdeführenden mehrheitlich Bewohner oder Grundeigentümer des vom dort zu beurteilenden Schallschutzprogramm betroffenen Gebietes seien, die jedenfalls zur Beschwerde legitimiert seien, und es bei gemeinsam erhobenen Beschwerden praxisgemäss ausreiche, wenn zumindest ein Beteiligter legitimiert sei (E. 1.2).</w:t>
      </w:r>
    </w:p>
    <w:p>
      <w:r>
        <w:rPr>
          <w:b/>
        </w:rPr>
        <w:t>E. 4</w:t>
      </w:r>
    </w:p>
    <w:p>
      <w:r>
        <w:t>Auf die Beschwerde ist demnach nicht einzutreten. Nicht näher eingegangen werden muss unter diesen Umständen auf die prozessualen Anträge der Beschwerdeführerin. Immerhin ist anzumerken, dass das Sistierungsgesuch bereits deshalb abzuweisen gewesen wäre, weil die Beschwerdegegnerin und die Vorinstanz sich gegen eine gütliche Einigung ausgesprochen haben (vgl. Art. 33b Abs. 1 VwVG; Karine Siegwart, in: Waldmann/ Weissenberger [Hrsg.], VwVG Praxiskommentar, 2. Aufl. 2016, Art. 33b N 35).</w:t>
      </w:r>
    </w:p>
    <w:p>
      <w:r>
        <w:rPr>
          <w:b/>
        </w:rPr>
        <w:t>E. 5.1</w:t>
      </w:r>
    </w:p>
    <w:p>
      <w:r>
        <w:t>Die Verfahrenskosten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Die Beschwerdeführerin bringt vor, sie mache keine vermögensrechtlichen Interessen geltend, sie handle in ihrer allgemeinen Schutzpflicht und wolle ihre Einwohner vor Fluglärm schützen und ihnen Nachtruhe verschaffen. Tatsächlich geht es im vorliegenden Verfahren aber nicht um eine direkte Verminderung von Fluglärmemissionen bzw. -immissionen, sondern um Schallschutzmassnahmen an den vom Fluglärm betroffenen Gebäuden bzw. die entsprechende Kostenbeteiligung der Beschwerdegegnerin. Die Beschwerdeführerin verfolgt daher - zumindest mit ihrem Begehren, den Perimeter für das Schallschutzprogramm 2015 auszudehnen - letztlich wirtschaftliche Interessen (der Grundeigentümer und Anwohner), weshalb eine vermögensrechtliche Streitigkeit vorliegt (vgl. BGE 139 II 404 E. 12.1; Urteil des BVGer A-391/2014 vom 14. Oktober 2015 E. 11.1 f.; je m.w.H.) und die Beschwerdeführerin kostenpflichtig ist. Die auf Fr. 1'000.- festzusetzenden Verfahrenskosten (vgl. Art. 1 ff. des Reglements vom 21. Februar 2008 über die Kosten und Entschädigungen vor dem Bundesverwaltungsgericht [VGKE, SR 173.320.2]) sind demnach ausgangsgemäss der Beschwerdeführerin aufzuerlegen und dem von ihr geleisteten Kostenvorschuss zu entnehmen. Der Restbetrag von Fr. 4'000.- ist ihr nach Eintritt der Rechtskraft des vorliegenden Urteils zurückzuerstatten.</w:t>
      </w:r>
    </w:p>
    <w:p>
      <w:r>
        <w:rPr>
          <w:b/>
        </w:rPr>
        <w:t>E. 5.2</w:t>
      </w:r>
    </w:p>
    <w:p>
      <w:r>
        <w:t>Eine Parteientschädigung ist trotz ihres Obsiegens weder der durch ihren internen Rechtsdienst vertretenen Beschwerdegegnerin (vgl. Art. 9 Abs. 2 VGKE)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