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A-3832/2024 vom 27. Mai 2026</w:t>
      </w:r>
    </w:p>
    <w:p>
      <w:r>
        <w:t>Bundesverwaltungsgericht, 2026-05-27, DE</w:t>
      </w:r>
    </w:p>
    <w:p>
      <w:r>
        <w:rPr>
          <w:b/>
        </w:rPr>
        <w:t xml:space="preserve">Quelle: </w:t>
      </w:r>
      <w:r>
        <w:t>https://mcp.opencaselaw.ch/entscheid/bvger_A-3832_2024</w:t>
      </w:r>
    </w:p>
    <w:p>
      <w:r>
        <w:t>FR: TAF A-3832/2024 du 27 mai 2026</w:t>
      </w:r>
    </w:p>
    <w:p>
      <w:r>
        <w:t>IT: TAF A-3832/2024 del 27 maggio 2026</w:t>
      </w:r>
    </w:p>
    <w:p>
      <w:pPr>
        <w:pStyle w:val="Heading2"/>
      </w:pPr>
      <w:r>
        <w:t>Regeste</w:t>
      </w:r>
    </w:p>
    <w:p>
      <w:r>
        <w:t>Haushaltabgabe</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einer Vorinstanz nach Art. 33 VGG stammen und keine Ausnahme nach Art. 32 VGG vorliegt. Die angefochtene Verfügung ist ein zulässiges Anfechtungsobjekt, da sie vom BAKOM als zuständige Behörde im Sinne von Art. 33 Bst. d VGG erlassen wurde und laut Art. 99 Abs. 1 des Bundesgesetzes vom 24. März 2006 über Radio und Fernsehen (RTVG; SR 784.40) beim Bundesverwaltungsgericht angefochten werden kann. Eine Ausnahme nach Art. 32 VGG liegt nicht vor. Das Bundesverwaltungsgericht ist für die Beurteilung der Beschwerde zuständig.</w:t>
      </w:r>
    </w:p>
    <w:p>
      <w:r>
        <w:rPr>
          <w:b/>
        </w:rPr>
        <w:t>E. 1.2</w:t>
      </w:r>
    </w:p>
    <w:p>
      <w:r>
        <w:t>Gegenstand des Beschwerdeverfahrens kann nur sein, was Gegenstand des erstinstanzlichen Verfahrens war oder nach richtiger Gesetzesauslegung hätte sein sollen (statt vieler: Urteil des BVGer A-2486/2024 vom 30. Juni 2025 E. 2.1). Dabei kann die Beschwerdeinstanz Streitfragen, über welche die Vorinstanz nicht verfügt hat, nicht beurteilen, da sie ansonsten in die funktionale Zuständigkeit der Vorinstanz eingreifen würde. Wird ein Nichteintretensentscheid angefochten, prüft das Bundesverwaltungsgericht einzig die Rechtsfrage, ob die Vorinstanz auf die bei ihr anhängig gemachte Angelegenheit zu Recht nicht eingetreten ist. Im Rahmen einer Beschwerde gegen einen Nichteintretensentscheid können somit keine Begehren mit Bezug auf die Sache selbst gestellt werden beziehungsweise es wäre darauf nicht einzutreten (Urteile des BVGer A-3607/ 2022 vom 12. November 2024 E. 1.3 und A-3484/2018 vom 7. September 2021 E. 5.2.1; André Moser et al., Prozessieren vor dem Bundesverwaltungsgericht, 3. Aufl. 2022, N. 2.8 und N. 2.213a; vgl. BGE 139 II 233 E. 3.2).</w:t>
      </w:r>
    </w:p>
    <w:p>
      <w:r>
        <w:rPr>
          <w:b/>
        </w:rPr>
        <w:t>E. 1.3</w:t>
      </w:r>
    </w:p>
    <w:p>
      <w:r>
        <w:t>Die Beschwerdeführerin stellt in ihrer Beschwerde ausschliesslich die Anträge, C._______ sei als «B._______» zu bezeichnen und es sei ein perforierter Einzahlungsschein zu verwenden. Sie stellt jedoch keinen Antrag, wonach die Vorinstanz auf die Beschwerde hätte eintreten müssen beziehungsweise der vorinstanzliche Entscheid aufzuheben wäre, und sie geht auch in ihrer Begründung in keiner Weise auf die angefochtene Verfügung ein. Folglich stellt die Beschwerdeführerin lediglich Anträge in der Sache, welche ausserhalb des Streitgegenstands liegen. Auf die Beschwerde ist demzufolge nicht einzutreten.</w:t>
      </w:r>
    </w:p>
    <w:p>
      <w:r>
        <w:rPr>
          <w:b/>
        </w:rPr>
        <w:t>E. 2.1</w:t>
      </w:r>
    </w:p>
    <w:p>
      <w:r>
        <w:t>Bei diesem Verfahrensausgang gilt die Beschwerdeführerin als unterliegend. Sie hat daher die Verfahrenskosten (vgl. Art. 1 ff. des Reglements vom 21. Februar 2008 über die Kosten und Entschädigungen vor dem Bundesverwaltungsgericht [VGKE, SR 173. 320.2]) zu tragen (vgl. Art. 63 Abs. 1 VwVG). Der geleistete Kostenvorschuss wird zur Bezahlung der Verfahrenskosten verwendet.</w:t>
      </w:r>
    </w:p>
    <w:p>
      <w:r>
        <w:rPr>
          <w:b/>
        </w:rPr>
        <w:t>E. 2.2</w:t>
      </w:r>
    </w:p>
    <w:p>
      <w:r>
        <w:t>Der unterliegenden Beschwerdeführerin steht keine Parteientschädigung zu (Art. 64 Abs. 1 VwVG i. V. m. Art. 7 ff. VGKE). Die Vorinstanz als Bundesbehörde hat unabhängig vom Verfahrensausgang keinen Anspruch auf Parteientschädigung (Art. 7 Abs. 3 VGKE).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