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A-3808/2018 vom 14. August 2018</w:t>
      </w:r>
    </w:p>
    <w:p>
      <w:r>
        <w:t>Bundesverwaltungsgericht, 2018-08-14, DE</w:t>
      </w:r>
    </w:p>
    <w:p>
      <w:r>
        <w:rPr>
          <w:b/>
        </w:rPr>
        <w:t xml:space="preserve">Quelle: </w:t>
      </w:r>
      <w:r>
        <w:t>https://mcp.opencaselaw.ch/entscheid/bvger_A-3808_2018</w:t>
      </w:r>
    </w:p>
    <w:p>
      <w:r>
        <w:t>FR: TAF A-3808/2018 du 14 août 2018</w:t>
      </w:r>
    </w:p>
    <w:p>
      <w:r>
        <w:t>IT: TAF A-3808/2018 del 14 agosto 2018</w:t>
      </w:r>
    </w:p>
    <w:p>
      <w:pPr>
        <w:pStyle w:val="Heading2"/>
      </w:pPr>
      <w:r>
        <w:t>Regeste</w:t>
      </w:r>
    </w:p>
    <w:p>
      <w:r>
        <w:t>Berufliche Vorsorge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w:t>
      </w:r>
    </w:p>
    <w:p>
      <w:r>
        <w:rPr>
          <w:b/>
        </w:rPr>
        <w:t>E. 1.2</w:t>
      </w:r>
    </w:p>
    <w:p>
      <w:r>
        <w:t>Die Aufsichtsbehörden im Bereich der beruflichen Vorsorge haben unter anderem darüber zu wachen, dass die Vorsorgeeinrichtungen sowie die Einrichtungen, die nach ihrem Zweck der beruflichen Vorsorge dienen, die gesetzlichen Vorschriften einhalten und dass das Vorsorgevermögen zweckgemäss verwendet wird (Art. 62 Abs.1 des Bundesgesetzes vom 25. Juni 1982 über die berufliche Alters-, Hinterlassenen- und Invalidenvorsorge [BVG, SR 831.40]). Sie übernehmen bei Stiftungen auch die Aufgaben nach Art. 85 und 86 - 86b des Schweizerisches Zivilgesetzbuch vom 10. Dezember 1907 (ZGB, SR 210; Art. 62 Abs. 2 BVG) und haben die Fusion von Vorsorgeeinrichtungen zu genehmigen (Art. 95 FusG). Verfügungen, welche die Aufsichtsbehörden im Rahmen dieser Aufsichtstätigkeiten erlassen, können nach Art. 74 Abs. 1 BVG in Verbindung mit Art. 31 - 33 des Verwaltungsgerichtsgesetzes vom 17. Juni 2005 (VGG, SR 173.32) mit Beschwerde beim Bundesverwaltungsgericht angefochten werden. Das Verfahren vor dem Bundesverwaltungsgericht richtet sich nach dem VwVG, soweit das VGG nichts anderes bestimmt (Art. 37 VGG). Das Bundesverwaltungsgericht prüft seine Zuständigkeit und das Vorliegen der Sachurteilsvoraussetzungen von Amtes wegen (Art. 7 Abs. 1 VwVG; Urteil des BVGer A-3636/2017 vom 1. Februar 2018 E. 1.1; vgl. zudem MOSER/BEUSCH/KNEUBÜHLER, Prozessieren vor dem Bundesverwaltungsgericht, 2. Aufl. 2013, Rz. 2.6). Dazu zählt auch die Frage, ob eine anfechtbare Verfügung vorliegt.</w:t>
      </w:r>
    </w:p>
    <w:p>
      <w:r>
        <w:rPr>
          <w:b/>
        </w:rPr>
        <w:t>E. 2.1</w:t>
      </w:r>
    </w:p>
    <w:p>
      <w:r>
        <w:t>Als Verfügung zu qualifizieren ist eine hoheitliche, individuell-konkrete, auf Rechtswirkungen ausgerichtete und verbindliche Anordnung einer Be-hörde, die sich auf öffentliches Recht des Bundes stützt, oder eine autori-tative und individuell-konkrete Feststellung bestehender Rechte oder Pflichten (Art. 5 Abs. 1 VwVG; vgl. auch Häfelin/Müller/Uhlmann, Allgemeines Verwaltungsrecht, 7. Aufl. 2016, Rz. 855 ff.; Tschannen/Zimmerli/Müller, Allgemeines Verwaltungsrecht, 4. Aufl. 2014, § 28 Rz. 17). Verfügungen sind den Parteien schriftlich zu eröffnen (Art. 34 Abs. 1 VwVG). Sie sind, auch wenn sie in Briefform ergehen, als solche zu bezeichnen, zu begründen und mit einer Rechtsmittelbelehrung zu versehen (Art. 35 Abs. 1 VwVG). Im Falle von Unklarheiten über den Verfügungscharakter eines Schreibens ist nicht massgebend, ob die Verwaltungshandlung als Verfügung gekennzeichnet ist oder den gesetzlichen Formvorschriften für eine Verfügung entspricht, sondern ob sie die vom Verfügungsbegriff geforderten Strukturmerkmale aufweist (BVGE 2009/43 E. 1.1.4 ff.; Urteil des BVGer A-1672/2016 25. Oktober 2016 E. 1.2.1; Tschannen/Zimmerli/Müller, a.a.O., § 29 Rz. 3). Eine Verfügung muss zwingend auf die Erzeugung von Rechtswirkungen gerichtet sein. Damit eine Verfügung vorliegt, ist entscheidend, dass das Handlungsziel der Behörden die Regelung, d.h. die bewusste, ausdrückliche und verbindliche Gestaltung der Rechtsstellung des Betroffenen sein muss (vgl. Urteile des BVGer A-2235/2017 vom 11. Juli 2017 E. 1.2 und A-3433/2013 vom 29. Oktober 2014 E. 2.6.3; Felix Uhlmann, in: Waldmann/Weissenberger [Hrsg.], Praxiskommentar Verwaltungsverfahrensgesetz, 2. Aufl. 2016, Art. 5 Rz. 17 ff. und 94). Bei der Frage der Anfechtbarkeit von Akten ist auch dem Rechtsschutzbedürfnis Rechnung zu tragen (vgl. BGE 138 I 6 E. 1.2; Urteile des BVGer A-3636/2017 vom 1. Februar 2018 E. 1.2, A-4699/2015 vom 11. April 2016 E. 4.1 und A-1725/2015 vom 8. Juni 2015 E. 2.1, je mit Hinweisen).</w:t>
      </w:r>
    </w:p>
    <w:p>
      <w:r>
        <w:rPr>
          <w:b/>
        </w:rPr>
        <w:t>E. 2.2</w:t>
      </w:r>
    </w:p>
    <w:p>
      <w:r>
        <w:t>Im vorliegenden Fall ist das Schreiben der Vorinstanz vom 28. Mai 2018 nicht als Verfügung ausgestaltet, sondern in Briefform verfasst. Es ist weder als Verfügung bezeichnet noch enthält es eine Rechtsmittelbelehrung (vgl. Art. 35 VwVG). Strittig und zu prüfen ist deshalb vorliegend, ob dieses Schreiben die Strukturmerkmale einer Verfügung im Sinne von Art. 5 VwVG aufweist.</w:t>
      </w:r>
    </w:p>
    <w:p>
      <w:r>
        <w:rPr>
          <w:b/>
        </w:rPr>
        <w:t>E. 2.3</w:t>
      </w:r>
    </w:p>
    <w:p>
      <w:r>
        <w:t>Die Beschwerdeführenden interpretieren das Schreiben vom 28. Mai 2018 dahingehend, dass die Vorinstanz hiermit angeordnet habe, dass ihnen kein Anspruch auf Einsicht in den Fusionsvertrag und den Fusionsbericht zustehe. Der Entscheid sei in Kopie auch dem Rechtsvertreter der Beschwerdegegnerin eröffnet worden, worauf dieser trotz seiner Ankündigung im Schreiben vom 25. Mai 2018 es unterlassen habe, den generischen Rechtsvertreter zu kontaktieren. Die Vorinstanz versteht ihre Äusserungen im Schreiben vom 28. Mai 2018 als prima vista eingeschätzte Rechtsauffassung, denn ein Genehmigungsverfahren sei noch gar nicht eröffnet worden. Damit liege keine Verfügung im Sinne von Art. 5 VwVG vor. Aus ihrem Schreiben gehe aber auch hervor, dass sie beabsichtige, die gestellten Anträge zu prüfen, sobald das dazu notwendige Verfahren anhängig gemacht werde. Die Beschwerdegegnerin argumentiert in ihrer Stellungnahme vom 30. Juli 2018, dass noch kein Genehmigungsverfahren eingeleitet worden sei. Zwar lägen die Unterlagen gemäss Art. 92 FusG vor, die Versicherten der C._______ Sammelstiftung hätten aber noch bis zum (Datum) Frist, um Einsicht in die Fusionsunterlagen zu nehmen. Auch aus dem Schreiben vom 28. Mai 2018 gehe klar hervor, dass noch kein Antrag auf Genehmigung der Fusion gestellt sei. Vielmehr habe die Vorinstanz unzweifelhaft festgestellt, dass es sich bei ihren Ausführungen vom 28. Mai 2018 lediglich um ein Antwortschreiben zum Verfahrensstand handle und nicht um eine anfechtbare Verfügung.</w:t>
      </w:r>
    </w:p>
    <w:p>
      <w:r>
        <w:rPr>
          <w:b/>
        </w:rPr>
        <w:t>E. 2.4</w:t>
      </w:r>
    </w:p>
    <w:p>
      <w:r>
        <w:t>Die Vorinstanz hat in ihrem Schreiben vom 28. Mai 2018 zwar ausgeführt, dass die Beschwerdeführenden "keine Destinatäre der im Betreff angeführten Vorsorgeeinrichtung" seien. Der dieser Feststellung vorangehende Satz lautet jedoch: "Tatsächlich werden wir Ihrer Erwartung, dass ihre Mandanten in einem allfälligen Fusionsverfahren Parteirechte zukommen sollten, nicht entsprechen können." Dieser Satz steht einerseits im Futur [Wir werden nicht entsprechen können] und andererseits bezieht er sich klar auf ein allfälliges Fusionsverfahren, also nicht auf den vorliegenden Brief. Die Vorinstanz weist darauf hin, dass derzeit noch kein Antrag auf Fusion [recte wohl eher Antrag auf Genehmigung einer Fusion] der erwähnten Vorsorgeeinrichtung vorliege (dazu unten E. 3.1). Sie hat im letzten Absatz des Schreibens zusätzlich ausgeführt, dass, sobald ein entsprechender Antrag auf Genehmigung einer Fusion der Pensionskasse vorliege, sie "Ihre Anträge konkret prüfen und Ihnen eine entsprechende kostenpflichtige Verfügung mit Rechtsmittelbelehrung zukommen lassen" werde. Damit hat die Vorinstanz klar zum Ausdruck gebracht, dass sie einstweilen von einer Erzeugung von Rechtswirkungen absieht, mithin keine bewusste, ausdrückliche und verbindliche Gestaltung der Rechtsstellung der Beschwerdeführenden treffen will. Damit fehlt es an einem wesentlichen Strukturmerkmal für eine Verfügung (E. 2.1) und mangels Verfügung somit offensichtlich an einem Anfechtungsobjekt.</w:t>
      </w:r>
    </w:p>
    <w:p>
      <w:r>
        <w:rPr>
          <w:b/>
        </w:rPr>
        <w:t>E. 2.5</w:t>
      </w:r>
    </w:p>
    <w:p>
      <w:r>
        <w:t>Mangels zulässigem Anfechtungsobjekt ist auf die vorliegende Be-schwerde demnach im einzelrichterlichen Verfahren nicht einzutreten (Art. 23 Abs. 1 Bst. b VGG; Urteile des BVGer A-5323/2012 vom 6. November 2012 sowie C-477/2008 vom 15. Mai 2008). Infolgedessen erübrigt es sich auch, auf die weiteren Anträge der Beschwerdeführenden einzugehen, soweit sie als materielle Anträge oder als prozessuale Anträge auf Anordnung einer vorsorglichen Massnahme gerichtet sind.</w:t>
      </w:r>
    </w:p>
    <w:p>
      <w:r>
        <w:rPr>
          <w:b/>
        </w:rPr>
        <w:t>E. 3.1</w:t>
      </w:r>
    </w:p>
    <w:p>
      <w:r>
        <w:t>Die Sachdarstellung von Vorinstanz und Beschwerdegegnerin, dass derzeit noch kein Antrag auf Genehmigung einer Fusion eingereicht und damit auch noch kein entsprechendes Verfahren eröffnet worden sei, wird durch die von der Beschwerdegegnerin eingereichte Publikation vom 26. Juli 2018 im Schweizerischen Handelsregister gestützt, wonach die Versicherten noch bis zum (Datum) bei ihr ein Gesuch um Einsicht in den Fusionsvertrag und den Fusionsbericht stellen können. Da dieses erst nach Ablauf der Einsichtsfrist anhängig gemacht werden kann, ist somit davon auszugehen, dass derzeit noch kein Fusionsgenehmigungsverfahren betreffend die Beschwerdegegnerin vor der Vorinstanz eingeleitet worden ist.</w:t>
      </w:r>
    </w:p>
    <w:p>
      <w:r>
        <w:rPr>
          <w:b/>
        </w:rPr>
        <w:t>E. 3.2</w:t>
      </w:r>
    </w:p>
    <w:p>
      <w:r>
        <w:t>Soweit die Beschwerdeführenden ihre weiteren Anträge auf Erteilung einer Anweisung auf Einräumung der Parteistellung im Fusionsgenehmigungsverfahren und auf dessen Sistierung im Sinne einer Rechtsverweigerungsbeschwerde bezüglich dieser beiden Anträge verstanden haben wollten, wären die Anträge ebenfalls abzuweisen. Denn in einem nicht hängigen Verfahren kann weder das eine noch das andere erfolgen.</w:t>
      </w:r>
    </w:p>
    <w:p>
      <w:r>
        <w:rPr>
          <w:b/>
        </w:rPr>
        <w:t>E. 4.1</w:t>
      </w:r>
    </w:p>
    <w:p>
      <w:r>
        <w:t>Im hier zu beurteilenden Fall liegt in erster Linie die Aufhebung der angeblichen Verfügung vom 28. Mai 2018 im Streit. Damit handelt es sich nicht um eine Streitigkeit betreffend das Recht der versicherten Person auf Information im Sinn von Art. 62 Abs. 1 Bst. e BVG. Das Verfahren vor Bundesverwaltungsgericht ist damit kostenpflichtig (Art. 74 Abs. 2 BVG e contrario).</w:t>
      </w:r>
    </w:p>
    <w:p>
      <w:r>
        <w:rPr>
          <w:b/>
        </w:rPr>
        <w:t>E. 4.2</w:t>
      </w:r>
    </w:p>
    <w:p>
      <w:r>
        <w:t>Die Verfahrenskosten werden grundsätzlich der unterliegenden Partei auferlegt (vgl. Art. 63 Abs. 1 VwVG). Im vorliegenden Fall wird auf die Be-schwerde nicht eingetreten, weshalb die Beschwerdeführenden als unterliegende Partei zu betrachten sind. Die Verfahrenskosten sind gemäss dem Reglement vom 21. Februar 2008 über die Kosten und Entschädigungen vor dem Bundesverwaltungsgericht (VGKE, SR 173.320.2) zu bestimmen. Sie werden unter Berücksichtigung des erfolgten Schriftenwechsels einerseits und des beschränkten Prozessthemas andererseits auf Fr. 1'500.- festgesetzt (Art. 2 Abs. 1 i.V.m. Art. 4 VGKE). Dieser Betrag ist dem Kostenvorschuss von Fr. 10'000.- zu entnehmen. Der Restbetrag im Umfang von Fr. 8'500.- ist den Beschwerdeführenden nach Eintritt der Rechtskraft des vorliegenden Urteils zurückzuerstatten.</w:t>
      </w:r>
    </w:p>
    <w:p>
      <w:r>
        <w:rPr>
          <w:b/>
        </w:rPr>
        <w:t>E. 4.3</w:t>
      </w:r>
    </w:p>
    <w:p>
      <w:r>
        <w:t>Die Vorinstanz hat als obsiegende Bundesbehörde keinen Anspruch auf eine Parteientschädigung (vgl. Art. 7 Abs. 3 VGKE). Dasselbe gilt für die Beschwerdegegnerin, denn das Eidgenössische Versicherungsgericht (heute: Bundesgericht) hat mit Urteil vom 3. April 2000 erwogen, dass Trägerinnen oder Versicherer der beruflichen Vorsorge grundsätzlich keinen Anspruch auf Parteientschädigung haben (BGE 126 V 143 E. 4), eine Praxis, welche das Bundesverwaltungsgericht in ständiger Rechtsprechung auch im Rahmen von Aufsichtsstreitigkeiten analog anwendet und die mit Blick darauf gerechtfertigt ist, dass die vorliegende Konstellation mit derjenigen eines gegen eine Vorsorgeeinrichtung klagenden Versicherten vergleichbar ist, trotz der Kostenpflichtigkeit des Verfahrens (vgl. Urteile des BVGer A-1183/2017 vom 21. Dezember 2017 E. 7.3.3, A-3424/2016 vom 7. September 2017 E. 9.2, C-6150/2011 vom 24. Mai 2012 E.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