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A-374/2024 vom 27. November 2023</w:t>
      </w:r>
    </w:p>
    <w:p>
      <w:r>
        <w:t>Bundesverwaltungsgericht, 2023-11-27, DE</w:t>
      </w:r>
    </w:p>
    <w:p>
      <w:r>
        <w:rPr>
          <w:b/>
        </w:rPr>
        <w:t xml:space="preserve">Quelle: </w:t>
      </w:r>
      <w:r>
        <w:t>https://mcp.opencaselaw.ch/entscheid/bvger_A-374_2024_d20231127</w:t>
      </w:r>
    </w:p>
    <w:p>
      <w:r>
        <w:t>FR: TAF A-374/2024 du 27 novembre 2023</w:t>
      </w:r>
    </w:p>
    <w:p>
      <w:r>
        <w:t>IT: TAF A-374/2024 del 27 novembre 2023</w:t>
      </w:r>
    </w:p>
    <w:p>
      <w:pPr>
        <w:pStyle w:val="Heading2"/>
      </w:pPr>
      <w:r>
        <w:t>Regeste</w:t>
      </w:r>
    </w:p>
    <w:p>
      <w:r>
        <w:t>Jagd und Fischerei | Forstwesen, Jagd und Fischerei; Proaktive Regulierung von Wolfsrudeln im Kanton Graubünden, Verfügung vom 27. November 2023. Entscheid angefochten beim BGer.</w:t>
      </w:r>
    </w:p>
    <w:p>
      <w:pPr>
        <w:pStyle w:val="Heading2"/>
      </w:pPr>
      <w:r>
        <w:t>Erwägungen</w:t>
      </w:r>
    </w:p>
    <w:p>
      <w:r>
        <w:rPr>
          <w:b/>
        </w:rPr>
        <w:t>E. 1</w:t>
      </w:r>
    </w:p>
    <w:p>
      <w:r>
        <w:t>Nach Art. 31 des Verwaltungsgerichtsgesetzes vom 17. Juni 2005 (VGG, SR 173.32) beurteilt das Bundesverwaltungsgericht Beschwerden gegen Verfügungen nach Art. 5 des Verwaltungsverfahrensgesetzes vom 20. De- zember 1968 (VwVG, SR 172.021) von Vorinstanzen nach Art. 33 VGG, sofern keine Ausnahmen nach Art. 32 VGG vorliegen. Die angefochtene Zustimmungsverfügung vom 27. November 2023 ist eine Verfügung im Sinne von Art. 5 VwVG. Das BAFU ist als Dienststelle der Verwaltung eine Vorinstanz des Bundesverwaltungsgerichts (vgl. Art. 33 Bst. d VGG). Es liegen keine Ausnahmen nach Art. 32 VGG vor.</w:t>
      </w:r>
    </w:p>
    <w:p>
      <w:r>
        <w:rPr>
          <w:b/>
        </w:rPr>
        <w:t>E. 2</w:t>
      </w:r>
    </w:p>
    <w:p>
      <w:r>
        <w:t>Sie verfolgt rein ideelle Zwecke; allfällige wirtschaftliche Tätigkeiten müs- sen der Erreichung der ideellen Zwecke dienen.</w:t>
      </w:r>
    </w:p>
    <w:p>
      <w:r>
        <w:rPr>
          <w:b/>
        </w:rPr>
        <w:t>E. 2.1</w:t>
      </w:r>
    </w:p>
    <w:p>
      <w:r>
        <w:t>Art. 48 Abs. 2 VwVG sieht ein spezialgesetzliches Beschwerderecht für Organisationen vor, denen von Gesetzes wegen gegen Verfügungen der kantonalen Behörden oder der Bundesbehörden die Beschwerdeberechti- gung zusteht.</w:t>
      </w:r>
    </w:p>
    <w:p>
      <w:r>
        <w:rPr>
          <w:b/>
        </w:rPr>
        <w:t>E. 2.2</w:t>
      </w:r>
    </w:p>
    <w:p>
      <w:r>
        <w:t>Nach Art. 12 Abs. 1 Bst. b des Bundesgesetzes vom 1. Juli 1966 über den Natur- und Heimatschutz (NHG, SR 451) steht gegen Verfügungen der kantonalen Behörden oder der Bundesbehörden den Organisationen, die sich dem Naturschutz, dem Heimatschutz, der Denkmalpflege oder ver- wandten Zielen widmen, unter folgenden Voraussetzungen das Beschwer- derecht zu: 1. Die Organisation ist gesamtschweizerisch tätig.</w:t>
      </w:r>
    </w:p>
    <w:p>
      <w:r>
        <w:rPr>
          <w:b/>
        </w:rPr>
        <w:t>E. 2.3</w:t>
      </w:r>
    </w:p>
    <w:p>
      <w:r>
        <w:t>Das Beschwerderecht steht den Organisationen nur für Rügen in Rechtsbereichen zu, die seit mindestens zehn Jahren Gegenstand ihres statutarischen Zwecks bilden (Art. 12 Abs. 2 NHG).</w:t>
      </w:r>
    </w:p>
    <w:p>
      <w:r>
        <w:rPr>
          <w:b/>
        </w:rPr>
        <w:t>E. 2.4</w:t>
      </w:r>
    </w:p>
    <w:p>
      <w:r>
        <w:t>Gemäss Art. 12 Abs. 3 NHG bezeichnet der Bundesrat die zur Be- schwerde berechtigten Organisationen.</w:t>
      </w:r>
    </w:p>
    <w:p>
      <w:r>
        <w:rPr>
          <w:b/>
        </w:rPr>
        <w:t>E. 2.5</w:t>
      </w:r>
    </w:p>
    <w:p>
      <w:r>
        <w:t>Der Bundesrat hat die Verordnung vom 27. Juni 1990 über die Bezeich- nung der im Bereich des Umweltschutzes sowie des Natur- und</w:t>
      </w:r>
    </w:p>
    <w:p>
      <w:r>
        <w:t>A-374/2024 Seite 5 Heimatschutzes beschwerdeberechtigten Organisationen (vormals VBUO, seit 1998 VBO; SR 814.076) erlassen.</w:t>
      </w:r>
    </w:p>
    <w:p>
      <w:r>
        <w:rPr>
          <w:b/>
        </w:rPr>
        <w:t>E. 2.6</w:t>
      </w:r>
    </w:p>
    <w:p>
      <w:r>
        <w:t>Organisationen, welche die Voraussetzungen nach Art. 12 Absatz 1 NHG erfüllen, werden auf Gesuch hin in das Verzeichnis der beschwerde- berechtigten Organisationen aufgenommen (Art. 3 Abs. 1 VBO). Sie müs- sen ihr Gesuch dem Bundesrat mindestens 18 Monate vor dem Zeitpunkt einreichen, auf den sie das Beschwerderecht erlangen wollen (Art. 3 Abs. 2 VBO). Das Gesuch muss enthalten: a. Angaben darüber, welches Beschwerderecht die Organisation erlangen will; b. den Nachweis, dass sie die Voraussetzungen dazu erfüllt; und c. die für diesen Nachweis notwendigen Unterlagen, insbesondere die Statu- ten und die Jahresberichte der letzten zehn Jahre.</w:t>
      </w:r>
    </w:p>
    <w:p>
      <w:r>
        <w:rPr>
          <w:b/>
        </w:rPr>
        <w:t>E. 2.7</w:t>
      </w:r>
    </w:p>
    <w:p>
      <w:r>
        <w:t>Aus den Erläuterungen zur Änderung vom 15. Juni 1998 der damaligen Verordnung über die Bezeichnung der beschwerdeberechtigten Umwelt- schutzorganisationen (VBUO) geht unter anderem Folgendes hervor: 3.3 Gesamtschweizerische Tätigkeit Organisationen sind nur gesamtschweizerisch tätig, wenn sie willens und in der Lage sind, ihre Umweltschutztätigkeit auf dem Gebiet der ganzen Schweiz zu betreiben, und sie diese Tätigkeit zumindest in einem wesentlichen Teil der Schweiz nachzuweisen vermögen. Der Wille zur gesamtschweizerischen Tä- tigkeit muss sich klar aus den Statuten ergeben. Zudem muss die Organisation über eine administrative Infrastruktur verfügen, die es ihr erlaubt, eine geogra- phisch ausgedehnte Tätigkeit zu bewältigen. Organisationen, die sich in den Bereichen Naturschutz, Heimatschutz, Denkmalpflege oder in verwandten, rein ideellen Bereichen engagieren, können nur dann die Beschwerdeberechtigung erlangen, wenn sie die Zweckverfolgung auch in ernstzunehmendem Mass be- treiben. Sporadische, an die Öffentlichkeit gerichtete Schreiben sowie Einga- ben an die Behörden weisen diese Tätigkeit noch nicht aus. 3.4 Zehnjähriges Bestehen Das Erfordernis des zehnjährigen Bestehens soll ad-hoc-Verbände ausschlies- sen und als Merkmal für ausgewiesene Fachkenntnisse dienen. Wichtig ist die Organisationsidentität für die gesamte Zeitspanne der zehn vergangenen Jahre: Die gleiche Vereinigung muss während dieser Zeitspanne im Bereich Naturschutz, Heimatschutz, Denkmalpflege oder in verwandten, rein ideellen Bereichen tätig gewesen sein. Es müssen alle Kriterien der Beschwerdebe- rechtigung während der ganzen Zeitdauer erfüllt sein. Lediglich Änderungen in der Organisationsstruktur sind zugelassen. Bei Zusammenschlüssen von Or- ganisationen gemäss Artikel 12 NHG muss mindestens eine davon das Erfor- dernis des zehnjährigen Bestehens für sich alleine erfüllen. An den Beweis der zehnjährigen Kontinuität sind hohe Anforderungen zu stellen.</w:t>
      </w:r>
    </w:p>
    <w:p>
      <w:r>
        <w:rPr>
          <w:b/>
        </w:rPr>
        <w:t>E. 2.8</w:t>
      </w:r>
    </w:p>
    <w:p>
      <w:r>
        <w:t>Die Vorinstanz hat folgende Voraussetzungen für die Eintragung in die Liste des Anhangs zur VBO auf ihrer Website publiziert: Die Verbände</w:t>
      </w:r>
    </w:p>
    <w:p>
      <w:r>
        <w:t>A-374/2024 Seite 6 müssen nachweisen, dass es sich um eine ideelle Organisation handelt (nach Statuten und tatsächlich), es muss sich um eine Umweltschutzorga- nisation bzw. um eine Natur- und Heimatschutzorganisation handeln (nach Statuten und tatsächlich), die Organisation muss gesamtschweizerisch tä- tig sein (nach Statuten und tatsächlich) und die Organisation muss seit zehn Jahren bestehen sowie in diesen zehn Jahren alle übrigen Voraus- setzungen immer erfüllt haben (vgl. www.bafu.admin.ch &gt; Themen &gt; Thema Umweltrecht &gt; Fachinformation Verbandsbeschwerderecht &gt; Ge- setzliche Grundlagen und Liste der Organisationen, abgefragt am 21.11.2024).</w:t>
      </w:r>
    </w:p>
    <w:p>
      <w:r>
        <w:rPr>
          <w:b/>
        </w:rPr>
        <w:t>E. 3.1</w:t>
      </w:r>
    </w:p>
    <w:p>
      <w:r>
        <w:t>Der Beschwerdeführer macht geltend, er erfülle die materiellen Voraus- setzungen als beschwerdeberechtigte Organisation nach Art. 12 Abs. 1 Bst. b NHG und sei deshalb beschwerdelegitimiert. Das Bundesgericht messe der Liste der beschwerdeberechtigten Organisationen lediglich de- klaratorische Wirkung zu. Als Verein bezwecke er seit seiner Gründung vom 25. Januar 2011 gemäss den Statuten die Aufklärung und Information der Bevölkerung über den Wolf, seine Biologie, seine Lebensweise, sein Verhalten, seinen Einfluss auf das gesamte Ökosystem und seine Berechtigung und seinen Platz in der Umwelt, um das Verständnis und die Akzeptanz gegenüber dem Wolf und seiner Wiederintegration in der Schweiz zu fördern. Mit anderen Wor- ten bezwecke er den Schutz und die Wiederintegration des Wolfes in der Schweiz. Er verfolge rein ideelle Zwecke. Seit seiner Gründung sei er auf dem Gebiet der ganzen Schweiz tätig. Er unterstütze insbesondere landes- weit Herdenschutzprogramme und führe Informationsprojekte durch, etwa an Schulen. Dies sei aus den auf seiner Website abrufbaren Jahresberich- ten ersichtlich.</w:t>
      </w:r>
    </w:p>
    <w:p>
      <w:r>
        <w:rPr>
          <w:b/>
        </w:rPr>
        <w:t>E. 3.2</w:t>
      </w:r>
    </w:p>
    <w:p>
      <w:r>
        <w:t>Demgegenüber führt die Vorinstanz unter anderem aus, um das ideelle Verbandsbeschwerderecht zu erlangen, müsse eine Organisation gesamt- schweizerisch tätig sein. Gesamtschweizerisch tätig sei eine Organisation, die in zahlreichen Kantonen Sektionen habe oder von ihrem Sitz aus in grossen Teilen der Schweiz aktiv sei. Die Zweckverfolgung müsse in einem ernstzunehmenden Masse betrieben werden. Überdies müsse sich die Ausrichtung auf die ganze Schweiz auch aus den Statuten ergeben. Es sei zwar nicht nötig, dass eine Organisation überall in der ganzen Schweiz gleich aktiv oder gleich bekannt sei. Gemäss der Praxis des Bundes bei</w:t>
      </w:r>
    </w:p>
    <w:p>
      <w:r>
        <w:t>A-374/2024 Seite 7 Erteilung des Beschwerderechts müsse die Organisation aber nachwei- sen, dass sie effektiv in einem wesentlichen Teil der Schweiz tätig sei. Ent- sprechend müsse sie mindestens in zwei Landesteilen aktiv sein. Beim Beschwerdeführer sei aber insbesondere für die Jahre 2014–2017 nicht von einer gesamtschweizerischen Tätigkeit auszugehen, da die Öf- fentlichkeitsarbeit lediglich in einem Teil der Deutschschweiz stattgefunden habe und auch die Herdenschutzmassnahmen vornehmlich auf Alpen im deutschsprachigen Raum beschränkt gewesen seien. Ab 2018 sei eine leichte Erhöhung bei Tätigkeiten auch in der Westschweiz festzustellen. Im Vergleich zu anderen beschwerdeberechtigten Organisationen könne je- doch nicht von einer Tätigkeit, welche eine gesamtschweizerische Bedeu- tung erreiche, gesprochen werden. Ein weiteres Indiz dafür sei, dass ledig- lich eine deutsche Version der Website existiere und die Mitgliederzahl mit 260 Gönnermitgliedern (Stand 31.12.2022) sehr tief erscheine. Schliesslich sei auch mit Blick auf die gerügte Zustimmung zur proaktiven Regulierung von Wolfsrudeln kein Bereich erfasst, der dem Zweck des Ver- eins entspreche, da der Beschwerdeführer als statutarischen Zweck die Information und Aufklärung über den Wolf aufführe, und sich eben nicht explizit für den Schutz und die Wiederintegration des Wolfes in der Schweiz einsetze. Da der Beschwerdeführer beim Bundesrat noch kein Gesuch um Erteilung des Verbandsbeschwerderechts eingereicht habe, könne er sich auch nicht auf das Beschwerderecht nach Art. 12 NHG berufen. Nach Ziff. 4.2.1 der Erläuterungen zur Änderung vom 15. Juni 1998 der Verordnung über die Bezeichnung der beschwerdeberechtigten Umweltschutzorganisationen (VBUO) würden Organisationen, deren Gesuch um Aufnahme in den An- hang der VBO vom Bundesrat abgelehnt worden sei – vorbehältlich der vorfrageweisen Überprüfung der Gesetzesmässigkeit der Verordnung – vom Beschwerderecht ausgeschlossen, solange der Bundesrat nicht ein erneutes Gesuch gutheisse, in welchem aufgrund neuer Tatsachen die Er- füllung der Voraussetzungen nach Art. 12 NHG bewiesen werde. Organi- sationen, die noch kein Gesuch gestellt hätten, blieben daher vom Be- schwerderecht ausgeschlossen, bis der Bundesrat über ein noch zu stel- lendes Gesuch durch Verordnungsänderung entschieden habe.</w:t>
      </w:r>
    </w:p>
    <w:p>
      <w:r>
        <w:rPr>
          <w:b/>
        </w:rPr>
        <w:t>E. 3.3</w:t>
      </w:r>
    </w:p>
    <w:p>
      <w:r>
        <w:t>In seiner Stellungnahme vom 25. März 2024 macht der Beschwerde- führer geltend, er könne auch ohne Aufnahme in die Liste der beschwer- deberechtigten Organisationen vom Verbandsbeschwerderecht Gebrauch</w:t>
      </w:r>
    </w:p>
    <w:p>
      <w:r>
        <w:t>A-374/2024 Seite 8 machen, soweit er die Anforderungen nach Art. 12 Abs. 1 Bst. b Ziff. 1 und Ziff. 2 NHG erfülle. Er widme sich Zielen des Naturschutzes. Wie bei anderen Organisationen auch genüge es für die Beschwerdeerhebung, dass seine Statuten den Schutzgedanken zum Ausdruck bringen würden, ohne dass der Wortlaut der Zweckbestimmung den Begriff «Schutz» enthalte. Neben der Aufklä- rung und Information über den Wolf bezwecke er nach seinen Statuten auch die Wiedereingliederung des Wolfes in der Schweiz, was den Schutz der Wölfe, mithin einer einheimischen Tierart, und deren Lebensräume be- inhalte. Eines seiner Hauptbetätigungsfelder liege in der landesweiten Unterstüt- zung von Herdenschutzmassnahmen. Er unterstütze seit 2012 fachlich be- ratend und finanziell Herdenschutzprojekte in den Kantonen Bern, Luzern, Freiburg und Waadt und damit in zwei Landesteilen. Seit 2014 unterstütze er auch im Kanton Tessin und in insgesamt über zehn Kantonen und in allen Landesteilen Herdenschutzprojekte. Dem Herdenschutz komme bei der Wiederintegration des Wolfes in der Schweiz eine zentrale Funktion zu, weshalb auch der Bund und die Kantone beträchtliche Mittel in Herden- schutzmassnahmen investieren würden. Weiter betreibe er seit seiner Gründung im Jahr 2011 Öffentlichkeitsarbeit in Form von Vorträgen, Sonderausstellungen, der Durchführung von Ex- kursionen, der Teilnahme an Ausstellungen und Messen sowie im Rahmen von Schulprojekten. Die durchgeführten Exkursionen fänden in allen Lan- desteilen statt. Das jeweilige Teilnehmerfeld bestehe aus Teilnehmern aus der ganzen Schweiz bzw. würden an Messen Besucher aus allen Landes- teilen angezogen. Er führe das Projekt «Ein Wolf macht Schule» jährlich mit mehreren hundert Schulkindern in zahlreichen Kantonen durch (in Zu- sammenarbeit mit anderen landesweit tätigen Organisationen, wie der Gruppe Wolf Schweiz). Auch aus seiner Aufklärung und Informationstätig- keit ergebe sich demnach, dass er schweizweit tätig sei. Zwar seien die Inhalte auf seiner Website grösstenteils nur in deutscher Sprache verfüg- bar, er publiziere aber auch regelmässig Informationen in anderen Spra- chen auf Druckwaren. Schliesslich sei er auch national und international mit anderen Wolfs- und Tierschutzorganisationen (WWF, Pro Natura etc.) vernetzt und stehe in re- gelmässigem Kontakt mit Bundesbehörden wie der Vorinstanz oder der durch den Bund finanzierten landwirtschaftlichen Beratungszentrale.</w:t>
      </w:r>
    </w:p>
    <w:p>
      <w:r>
        <w:t>A-374/2024 Seite 9 Aktuell verfüge er über 350 Mitglieder, die aus allen Landesteilen und Sprachregionen stammten, weshalb auch aus seiner Mitgliederstruktur hervorgehe, dass es sich um einen schweizweit tätigen Verein handle. Mit der Mitgliederanzahl bewege er sich im Rahmen anderer beschwerdebe- rechtigten Organisationen wie der Bodenkundlichen Gesellschaft der Schweiz (BGS), die gemäss Protokoll der diesjährigen Generalversamm- lung 554 Mitglieder zähle. Letztlich müsse es aber auch hier auf den tat- sächlichen Aktionsgrad und -radius einer Organisation ankommen. Im Üb- rigen anerkenne auch der Beschwerdegegner, dass er zumindest in der deutschsprachigen und der «rätoromanischen» Schweiz, somit in zwei Landesteilen aktiv sei. Zudem sei festzuhalten, dass er sich auf politischer Ebene für den Wolfs- schutz einsetze und zusammen mit anderen national tätigen Organisatio- nen das Referendum gegen die Änderungen des Jagdgesetztes ergriffen und sich bundesweit am Abstimmungskampf beteiligt habe. Auch habe er gemeinsam mit einer weiteren Organisation Beschwerde beim Sekretariat der Berner Konvention und eine Aufsichtsbeschwerde betreffend die Wolfs- regulierung im Kanton Waadt sowie auch in weiteren Kantonen eingereicht. Er sei daher eine national und international anerkannte Tierschutzorgani- sation.</w:t>
      </w:r>
    </w:p>
    <w:p>
      <w:r>
        <w:rPr>
          <w:b/>
        </w:rPr>
        <w:t>E. 4</w:t>
      </w:r>
    </w:p>
    <w:p>
      <w:r>
        <w:t>Die Vorinstanz bringt unter anderem vor, der Beschwerdeführer habe noch kein Gesuch um Aufnahme in den Anhang der VBO gestellt. Nicht darin aufgeführte Organisationen seien vom Beschwerderecht auszuschliessen. Damit beruft sie sich auf eine konstitutive Wirkung der Bezeichnung durch den Bundesrat als beschwerdeberechtigte Organisation im Anhang zur VBO. Wie die Vorinstanz anmerkt, könnten aber auch in diesem Fall Be- schwerden von Organisationen nach Art. 12 Abs. 1 NHG zugelassen wer- den, weil die VBO im Einzelfall auf ihre Vereinbarkeit mit Art. 12 Abs. 1 Bst. b NHG hin zu überprüfen ist. Aus diesem Grund ist auch nach Auffas- sung der Lehre die Frage zu relativieren, ob der Liste eine konstitutive oder deklaratorische Wirkung zukommt (vgl. PETER KELLER, in: Keller/Zuffe- rey/Fahrländer [Hrsg.], Kommentar NHG [nachfolgend: Kommentar NHG], 2. Aufl. 2019, Art. 12 N 14; THEO LORETAN, in: Vereinigung für Umweltrecht [Hrsg.], Kommentar zum Umweltschutzgesetz [nachfolgend: Kommentar USG], 2. Aufl. 2004, Art. 55 N 19; HELEN KELLER/MATTHIAS HAUSER, Ideell oder wirtschaftlich – die Gretchenfrage im Verbandsbeschwerderecht, Um- weltrecht in der Praxis URP 2009, S. 835 ff., 861).</w:t>
      </w:r>
    </w:p>
    <w:p>
      <w:r>
        <w:t>A-374/2024 Seite 10 Obwohl im Parlament die Auffassung vertreten wurde, der Bundesrat werde die Liste «souverainement, sous réserve de l’arbitraire» aufstellen (vgl. LORETAN, Kommentar USG, N. 19 m.H.a. Amtl. Bull. N. 1982 474), hat das Bundesgericht im Dezember 1986 zur Wirkung der Liste der beschwer- deberechtigten Organisationen (im Anhang zur damals noch zu erlassen- den VBUO) entschieden, «dass diese Liste keine konstitutive, sondern le- diglich deklaratorische Wirkung hat», und dass ein auf einen Irrtum oder den Umstand, wonach zum Zeitpunkt ihrer Erstellung die im damaligen Art. 55 Abs. 1 aUSG (BBl 1983 III 1040; AS 1984 1122) aufgeführten zeit- lichen Voraussetzungen noch nicht erfüllt gewesen seien, zurückzuführen- des Fehlen auf dieser Liste im Einzelfall korrigiert bzw. der Eintrag von der urteilenden Behörde nachträglich vorgenommen werden könne (vgl. BGE 112 Ib 543 E. 1b = Pra 77 (1988) Nr. 53; bestätigt in BGE 115 Ib 472 E. 1d/cc). Die Lehre ist dieser Auffassung gefolgt und nimmt an, dass diese Rechtsprechung auch für die VBO gilt (LORETAN, Kommentar USG, Art. 55 N 19 m.H.). Dem ist aufgrund der Materialen zur Gesetzesrevision 2006 zuzustimmen. Die Kommission des Ständerats hat sich mit der Frage be- fasst, wie – unter anderem zur Verhinderung von Missbräuchen – der Kreis der Beschwerdeberechtigten zu bestimmen ist. Eine gesetzgeberische Ab- sicht, der Liste im Gegensatz zur bundesgerichtlichen Praxis eine konsti- tutive Wirkung zuzumessen, kann den Gesetzesmaterialien nicht entnom- men werden (vgl. Parlamentarische Initiative «Vereinfachung der Umwelt- verträglichkeitsprüfung sowie Verhinderung von Missbräuchen durch eine Präzisierung des Verbandsbeschwerderechtes. Bericht der Kommission für Rechtsfragen des Ständerates» [BBl 2005 5351 5363] sowie Stellung- nahme des Bundesrates zu diesem Bericht [BBl 2005 5391]). Ist eine Organisation in der Liste aufgeführt, ist nach der bundesgerichtli- chen Rechtsprechung ohne weitere Prüfung davon auszugehen, dass die materiellen Anforderungen an die Beschwerdeberechtigung erfüllt sind (vgl. Urteile des BGer 1C_382/2010 vom 13. April 2011 E. 1.2 und 1C_474/2008 vom 6. November 2008 E. 3.2; Urteil des BVGer A-8386/2010 vom 1. Dezember 2011 E. 1.2.2). Das Bundesgericht hat so- dann in Einzelfällen bei der Prüfung des ideellen Verbandsbeschwerde- rechts festgehalten, dass die gestützt auf Art. 55 USG und Art. 12 NHG be- schwerdeberechtigten gesamtschweizerischen Organisationen in der VBO abschliessend aufgeführt sind und die Beschwerdeführenden mangels Nennung in der Verordnung nach den bundesrechtlichen Bestimmungen auch insoweit nicht beschwerdebefugt sind (vgl. Urteile des BGer 1C_531/2008 vom 10. März 2009 E. 3.4 «Freiwillige Basler Denkmal- pflege» und 1C_474/2008 vom 6. November 2008 E. 3.2 «Gigaherz.ch,</w:t>
      </w:r>
    </w:p>
    <w:p>
      <w:r>
        <w:t>A-374/2024 Seite 11 Schweizerische Interessengemeinschaft Elektrosmog-Betroffener»). In der Lehre wird davon ausgegangen, dass es sich bei den jeweiligen Beschwer- deführenden um lokal tätige Organisationen gehandelt haben dürfte, die nicht auf der Liste des Anhangs zur VBO aufgeführt waren (vgl. WISARD, in: Moor/Favre/Flückiger [Hrsg.], Commentaire Loi sur la protection de l'en- vironnnement [LPE], Band II 2012, Art. 55 N. 52 ff., insbes. N. 55 m.H.). Das Bundesgericht dürfte die Legitimation mit blossem Hinweis auf die feh- lende Eintragung in der Liste verneint haben, weil die Beschwerdeführer ihre materielle Beschwerdeberechtigung nicht konkret geltend gemacht hatten. In einem der Fälle hält es denn auch fest, das Verwaltungsgericht habe den Beschwerdeführer bereits ausdrücklich darauf aufmerksam ge- macht, dass die Legitimationsfrage im bundesgerichtlichen Verfahren ein- zig im Lichte der massgebenden bundesrechtlichen Bestimmungen zu prü- fen sei (vgl. Urteil des BGer 1C_474/2008 vom 6. November 2008 E. 3.2). Demnach kommt dem Verzeichnis im Anhang zur VBO die Rechtswirkung einer widerlegbaren Vermutung zu. Die Aufnahme in die Liste führt zu einer Verschiebung der Beweislast zugunsten der eingetragenen Organisatio- nen. Ist eine Organisation nicht im Verzeichnis eingetragen, muss sie be- weisen, dass sie die Voraussetzungen für die Beschwerdeberechtigung er- füllt (vgl. LORETAN, Kommentar USG, Art. 55 N. 19; KELLER/HAUSER, URP 8, 2009, S. 861). Für das Vorliegen der materiellen Anforderungen an die Verbandsbeschwerdeberechtigung ist der volle Beweis zu erbringen (Regelbeweismass). Das Gericht muss gestützt auf die freie Beweiswürdi- gung zur Überzeugung gelangen, dass alle Kriterien erfüllt sind. Absolute Gewissheit ist nicht erforderlich. Es genügt, wenn es an der behaupteten Tatsache keine ernsthaften Zweifel mehr hat oder allenfalls verbleibende Zweifel als leicht erscheinen. Bleibt eine entscheidrelevante Tatsache un- bewiesen, gilt im Bereich des öffentlichen Rechts grundsätzlich die Beweis- lastregel von Art. 8 des Zivilgesetzbuchs (ZGB, SR 210) als allgemeiner Rechtsgrundsatz. Demnach hat jene Partei die Folgen der Beweislosigkeit zu tragen, die aus der unbewiesen gebliebenen Tatsache Rechte ableitet.</w:t>
      </w:r>
    </w:p>
    <w:p>
      <w:r>
        <w:rPr>
          <w:b/>
        </w:rPr>
        <w:t>E. 5.1</w:t>
      </w:r>
    </w:p>
    <w:p>
      <w:r>
        <w:t>Im Folgenden ist zu prüfen, ob der Beschwerdeführer die materiellen Anforderungen an das Verbandsbeschwerderecht erfüllt (E. 2.2). Unbestrit- tenermassen beurteilt sich die erforderliche gesamtschweizerischen Tätig- keit danach, ob der Beschwerdeführer seine Aktivitäten zur Wiederintegra- tion des Wolfes in den vergangenen zehn Jahren in zumindest zwei Lan- desteilen durchgeführt hat (vgl. E. 2.7–2.8).</w:t>
      </w:r>
    </w:p>
    <w:p>
      <w:r>
        <w:t>A-374/2024 Seite 12</w:t>
      </w:r>
    </w:p>
    <w:p>
      <w:r>
        <w:rPr>
          <w:b/>
        </w:rPr>
        <w:t>E. 5.2</w:t>
      </w:r>
    </w:p>
    <w:p>
      <w:r>
        <w:t>Die Vorinstanz bringt vor, dass insbesondere in den Jahren 2014–2017 die Öffentlichkeitsarbeit lediglich in einem Teil der Deutschschweiz stattge- funden habe und die Herdenschutzmassnahmen vornehmlich auf Alpen im deutschsprachigen Raum beschränkt gewesen seien. Erst ab 2018 liege eine leichte Erhöhung der Tätigkeiten auch in der Westschweiz vor. Demgegenüber macht der Beschwerdeführer geltend, seit 2014 unter- stütze er auch im Kanton Tessin sowie in insgesamt über zehn Kantonen und in allen Landesteilen Herdenschutzprojekte. Die Vorinstanz verwende falsche Kriterien für die Beurteilung der schweizweiten Öffentlichkeitsar- beit.</w:t>
      </w:r>
    </w:p>
    <w:p>
      <w:r>
        <w:rPr>
          <w:b/>
        </w:rPr>
        <w:t>E. 5.3</w:t>
      </w:r>
    </w:p>
    <w:p>
      <w:r>
        <w:t>Nach Durchsicht der Akten besteht der Einwand der Vorinstanz zu Recht, dass der Beschwerdeführer für die Jahre 2014–2017 fast nur im deutschsprachigen Raum aktiv war. Aus seiner Projektliste geht hervor, dass er im genannten Zeitraum nur sehr geringfügig in der Westschweiz Projekte durchgeführt hat. Er legt nicht dar, inwiefern die Anforderung, in einem zweiten Landesteil Fuss gefasst zu haben, durch das Zaunprojekt im Parc Animalier de Saint-Croix (Frankreich) erfüllt wird, welches er dort seit dem Jahr 2015 unterstützt. Im Weiteren hat er zwar in den Jahren 2014 und 2015 ein Herdenschutzprojekt im Kanton Freiburg (Region Jaun; Alp Schafberg) und eines in Freiburg/Bern (Region Jaunpass/Naturpark Gant- risch; Stierengrat-Kaiseregg) unterstützt, was auf eine allenfalls geringfü- gige Ausdehnung der Aktivitäten in Richtung Westschweiz hindeuten könnte. Soweit der Beschwerdeführer aber für den strittigen Zeitraum Tä- tigkeiten im Kanton Waadt und Tessin geltend macht, bringt er nicht vor, inwiefern er Herdenschutzmassnahmen auf bestimmten Alpen unterstützt hat. Es obliegt dem Beschwerdeführer, darzulegen, wo er in den fraglichen Jahren konkret aktiv gewesen ist, um die von der Vorinstanz geäusserten Zweifel an seiner gesamtschweizerischen Tätigkeit auszuräumen. Die Ein- schätzung der Vorinstanz ist daher zu bestätigen, dass für die Jahre 2014– 2017 nur von allenfalls geringfügigen Herdenschutzmassnahmen in der Westschweiz auszugehen ist. Diese Aktivitäten haben keine gesamt- schweizerische Bedeutung während der erforderlichen Zeitdauer von zehn Jahren erreicht. Auch im Hinblick auf die geltend gemachte schweizweite Öffentlichkeitsar- beit fehlen überzeugende Nachweise. Die von der Vorinstanz zur Beurtei- lung angewandten Kriterien für die Jahre 2014–2017 sind nicht zu bean- standen, weshalb sie hier zur Anwendung gelangen. Der Beschwerdefüh- rer führte zwar Veranstaltungen durch bzw. nahm er an Messen teil, macht</w:t>
      </w:r>
    </w:p>
    <w:p>
      <w:r>
        <w:t>A-374/2024 Seite 13 aber keine solchen Aktivitäten in der Westschweiz geltend. Soweit er auf Exkursionen in allen Landesteilen hinweist, legt er nicht dar, dass diese in den Jahren 2014–2017 stattgefunden hätten. Seine Angaben zum Projekt «ein Wolf macht Schule» sind nicht weiterführend, weil er laut Projektüber- sicht mit dieser Aktivität erst im Jahr 2018 begonnen hat. Auch unter dem Aspekt der Mitgliederstruktur 2024 legt er nicht dar, inwiefern er deshalb rückblickend in zwei Landesteilen der Schweiz mit konkreten Aktivitäten zum Schutz des Wolfes ausreichend Fuss gefasst haben will. Somit ver- mag er nicht nachzuweisen, dass er während der erforderlichen Zeitdauer von zehn Jahren alle Kriterien für die Beschwerdeberechtigung erfüllt.</w:t>
      </w:r>
    </w:p>
    <w:p>
      <w:r>
        <w:rPr>
          <w:b/>
        </w:rPr>
        <w:t>E. 5.4</w:t>
      </w:r>
    </w:p>
    <w:p>
      <w:r>
        <w:t>Zusammengefasst bestehen erhebliche Zweifel daran, dass die Aktivi- täten des Beschwerdeführers das Kriterium der gesamtschweizerischen Tätigkeit während der gesamten Zeitdauer erfüllen. Er hat den ihm oblie- genden Nachweis nicht erbracht, dass die materiellen Voraussetzungen für die Beschwerdeberechtigung vorliegen (vgl. E. 4 in fine).</w:t>
      </w:r>
    </w:p>
    <w:p>
      <w:r>
        <w:rPr>
          <w:b/>
        </w:rPr>
        <w:t>E. 5.5</w:t>
      </w:r>
    </w:p>
    <w:p>
      <w:r>
        <w:t>An diesem Ergebnis vermögen die übrigen Vorbringen des Beschwer- deführers nichts zu ändern.</w:t>
      </w:r>
    </w:p>
    <w:p>
      <w:r>
        <w:rPr>
          <w:b/>
        </w:rPr>
        <w:t>E. 5.5.1</w:t>
      </w:r>
    </w:p>
    <w:p>
      <w:r>
        <w:t>Der Beschwerdeführer bringt zu den Zweifeln der Vorinstanz an der schweizweiten Öffentlichkeitsarbeit aufgrund einer Website in lediglich ei- ner Landessprache vor, dass die Anzahl der verfügbaren Landessprachen auf einer Website kein taugliches Prüfkriterium für eine landesweite Tätig- keit sei. Zudem gebe es auch andere beschwerdeberechtigte Organisatio- nen wie Aqua Viva oder die Schweizerische Vereinigung für Gesundheits- schutz und Umwelttechnik SVG, die ihre Inhalte auf der Website ebenfalls nur in einer Landessprache anbieten würden. Unter dem Gesichtspunkt der Rechtsgleichheit sei nicht nachvollziehbar, weshalb er in diesem Punkt anders behandelt werden sollte.</w:t>
      </w:r>
    </w:p>
    <w:p>
      <w:r>
        <w:rPr>
          <w:b/>
        </w:rPr>
        <w:t>E. 5.5.2</w:t>
      </w:r>
    </w:p>
    <w:p>
      <w:r>
        <w:t>Soweit er eine Ähnlichkeit zu den Aktivitäten der beiden Organisatio- nen moniert, und vergleichbare Voraussetzungen für die Anerkennung der schweizweiten Tätigkeiten verlangt, ist festzuhalten, dass die Organisation Aqua Viva die Nachfolgeorganisation des 1960 gegründeten Rheinaubun- des ist, der seit dem Entscheid des Bundesgerichts vom 7. Dezember 1989 als verbandsbeschwerdeberechtigt gilt und im Gegensatz zum Beschwer- deführer seit langem im Anhang zur VBO eingetragen ist (vgl. BGE 115 Ib 479; KELLER, Kommentar NHG, Art. 12 N 15). Gleiches gilt für die SVG, die im Jahr 1917 gegründet wurde. Es steht der Vorinstanz frei, im Verlauf der Jahre ihre Prüfungspraxis für die Feststellung der gesetzlichen</w:t>
      </w:r>
    </w:p>
    <w:p>
      <w:r>
        <w:t>A-374/2024 Seite 14 Voraussetzung der schweizweiten Tätigkeit – hier in Form von Öffentlich- keitsarbeit – zu ändern. Es liegt daher keine vergleichbare Situation des Beschwerdeführers vor, auch wenn die von ihm genannten Organisationen zum heutigen Zeitpunkt über keine Website in zwei Landessprachen ver- fügen sollten. Selbst wenn hier von einer Vergleichbarkeit auszugehen wäre, besteht auch kein Anspruch auf Gleichbehandlung im Unrecht. Die- ser wird nur ausnahmsweise anerkannt, wenn eine ständige gesetzeswid- rige Praxis einer rechtsanwendenden Behörde vorliegt und die Behörde zu erkennen gibt, dass sie auch in Zukunft nicht von dieser Praxis abzuwei- chen gedenke (BGE 122 II 446 E. 4a; 131 V 9 E. 3.7; BVGE 2016/21 E. 6.2). Das Kriterium der ständigen Praxis ist bei einer abweichenden Be- handlung in zwei Fällen nicht erfüllt und die Vorinstanz hat dargelegt, dass sie die verfügbaren Sprachen auf einer Website als Indiz für die Beurteilung der schweizweiten Öffentlichkeitsarbeit heranziehen will.</w:t>
      </w:r>
    </w:p>
    <w:p>
      <w:r>
        <w:rPr>
          <w:b/>
        </w:rPr>
        <w:t>E. 6</w:t>
      </w:r>
    </w:p>
    <w:p>
      <w:r>
        <w:t>Zusammengefasst ist es dem Beschwerdeführer nicht gelungen, die Vo- raussetzungen für die Beschwerdeberechtigung nach Art. 12 Abs. 1 Bst. b NHG nachzuweisen. Bei diesem Ergebnis erübrigt es sich, weiter auf die strittige Frage einzugehen, ob die von ihm erhobenen Rügen dem statuta- rischen Zweck entsprechen. Es kann auch offenbleiben, ob die weiteren Voraussetzungen für das Eintreten auf die Beschwerde vorliegen. Auf die Beschwerde ist somit nicht einzutreten.</w:t>
      </w:r>
    </w:p>
    <w:p>
      <w:r>
        <w:rPr>
          <w:b/>
        </w:rPr>
        <w:t>E. 7</w:t>
      </w:r>
    </w:p>
    <w:p>
      <w:r>
        <w:t>Bei diesem Verfahrensausgang hat der Beschwerdeführer die Verfahrens- kosten zu tragen (Art. 63 VwVG; Art. 1 ff. des Reglements über die Kosten und Entschädigungen vor dem Bundesverwaltungsgericht vom 21. Feb- ruar 2008 [VGKE, SR 173.320.2]). Sie sind auf Fr. 1’000.– festzusetzen (vgl. Art. 2 Abs. 1 i.V.m. Art. 4 VGKE) und dem in gleicher Höhe geleisteten Kostenvorschuss zu entnehmen. Die Vorinstanz und der Beschwerdegegner haben keinen Anspruch auf eine Parteientschädigung (vgl. Art. 7 Abs. 3 VGKE; BVGer A-5142/2021 vom 18. Januar 2023 E. 5.2 m.H.).</w:t>
      </w:r>
    </w:p>
    <w:p>
      <w:r>
        <w:t>(Dispositiv nächste Seite)</w:t>
      </w:r>
    </w:p>
    <w:p>
      <w:r>
        <w:t>A-374/2024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