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A-3728/2020 vom 1. September 2022</w:t>
      </w:r>
    </w:p>
    <w:p>
      <w:r>
        <w:t>Bundesverwaltungsgericht, 2022-09-01, IT</w:t>
      </w:r>
    </w:p>
    <w:p>
      <w:r>
        <w:rPr>
          <w:b/>
        </w:rPr>
        <w:t xml:space="preserve">Quelle: </w:t>
      </w:r>
      <w:r>
        <w:t>https://mcp.opencaselaw.ch/entscheid/bvger_A-3728_2020</w:t>
      </w:r>
    </w:p>
    <w:p>
      <w:r>
        <w:t>FR: TAF A-3728/2020 du 1 septembre 2022</w:t>
      </w:r>
    </w:p>
    <w:p>
      <w:r>
        <w:t>IT: TAF A-3728/2020 del 1 settembre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22 giugno 2020 dell'autorità inferiore, con cui ha accolto la domanda raggruppata italiana di assistenza amministrativa del 23 novembre 2018, per quanto concerne il qui ricorrente. In tale contesto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basa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formulate.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ampia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estenderne, né restringerne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ammessa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si applica,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questo Tribunale rileva come in concreto la domanda raggruppata italiana di assistenza amministrativa del 23 novembre 2018, alla base della presente procedura di ricorso, sia già stata oggetto - come detto (cfr. fatti, sub lett. E) - della sentenza pilota del TAF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relazione con degli elementi su cui il Tribunale federale non si è pronunciato nella predetta sentenza 2C_73/2021, possono essere, di principio, ancora esaminate in dettaglio dal TAF. Per quanto attiene alle censure già evase dal Tribunale federale, questo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corrisponde altresì a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 TAF,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federale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per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stabilito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4.3.1</w:t>
      </w:r>
    </w:p>
    <w:p>
      <w:r>
        <w:t>Ora, nel suo gravame, il ricorrente sostiene che l'Agreement between the competent authorities of the Swiss Confederation and Italy on exchange of information through group requests del 2 marzo 2017 non costituisce una base convenzionale sufficiente per giustificare la domanda raggruppata italiana di assistenza amministrativa del 6 dicembre 2018 (recte: 23 novembre 2018), la quale sarebbe per altro in contrasto con le condizioni formali previste dalla CDI CH-IT e dal relativo Protocollo aggiuntivo oltre che con quanto stabilito dall'art. 2 (recte: art. 3) cpv. 1 let. g OAAF. La domanda raggruppata andrebbe infatti considerata alla stregua di una « fishing expedition », non fornendo un'identificazione sufficiente delle persone oggetto di controllo e non essendo in ogni caso il modello comportamentale delle stesse sufficientemente definito. Il ricorrente lamenta inoltre una violazione del principio della buona fede, dal momento che non incombe all'autorità richiesta prendere a carico laboriose indagini per sopperire a una domanda di assistenza amministrativa carente. A mente dell'insorgente tale è stato il caso nella fattispecie, non avendo l'autorità fiscale richiedente italiana neppure fornito la lettera del 20 febbraio 2015 inviata dalla banca B._______/C._______ alla propria clientela potenzialmente recalcitrante (cfr. ricorso 22 luglio 2020, pp. 7-13).</w:t>
      </w:r>
    </w:p>
    <w:p>
      <w:r>
        <w:rPr>
          <w:b/>
        </w:rPr>
        <w:t>E. 4.3.2</w:t>
      </w:r>
    </w:p>
    <w:p>
      <w:r>
        <w:t>Tali censure non possono che essere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ritiene - contrariamente a quanto stabilito dal Tribunale federale - che la domanda non sia conforme alla CDI CH-IT.</w:t>
      </w:r>
    </w:p>
    <w:p>
      <w:r>
        <w:rPr>
          <w:b/>
        </w:rPr>
        <w:t>E. 5</w:t>
      </w:r>
    </w:p>
    <w:p>
      <w:r>
        <w:t>Constatata l'ammissibilità della domanda raggruppata italiana di assistenza amministrativa del 23 novembre 2018, occorre ancora stabilire se il ricorrente rientra o meno nel modello di comportamento (lecitamente) ivi descritto dall'autorità richiedente italiana.</w:t>
      </w:r>
    </w:p>
    <w:p>
      <w:r>
        <w:rPr>
          <w:b/>
        </w:rPr>
        <w:t>E. 5.1</w:t>
      </w:r>
    </w:p>
    <w:p>
      <w:r>
        <w:t>Nel suo gravame il ricorrente contesta di aver mai ricevuto lo scritto del 20 febbraio 2015 relativo alle « nuove disposizioni per la clientela italiana con residenza fiscale in Italia », né di averne preso conoscenza mediante inserimento dello stesso nel dossier « fermo banca ». Riguardo a tale circostanza egli insiste sul fatto che non vi sono elementi agli atti suscettibili di dimostrare che tale comunicazione sia stata effettivamente portata alla sua conoscenza o inserita nel suo dossier. Così stando le cose il ricorrente non ritiene pertanto di rientrare nella cerchia di persone toccate dalla domanda di assistenza amministrativa italiana in esame. Tale argomentazione non può essere seguita dal Tribunale adito (cfr. ricorso 22 luglio 2020, pp. 13-14).</w:t>
      </w:r>
    </w:p>
    <w:p>
      <w:r>
        <w:rPr>
          <w:b/>
        </w:rPr>
        <w:t>E. 5.2</w:t>
      </w:r>
    </w:p>
    <w:p>
      <w:r>
        <w:t>A tal proposito si rileva innanzitutto che, da un esame degli atti dell'incarto - e meglio della documentazione fornita dalla banca B._______/C._______ (cfr. atto n. 18.2 dell'incarto prodotto dall'autorità inferiore su chiave USB [di seguito: inc. AFC]) -, risulta chiaramente che durante il periodo interessato dalla predetta domanda raggruppata (ossia dal 23 febbraio 2015 al 31 dicembre 2016), il ricorrente era titolare di un conto bancario presso la banca B._______/C._______, sul quale erano depositati il 28 febbraio 2015 fr. 524'835.76. È inoltre indubbio che a quest'ultimo sia stata notificata la lettera del 20 febbraio 2015, che lo informava delle importanti restrizioni dei servizi bancari applicate dalla banca in caso di mancata prova della conformità fiscale del proprio conto presso la predetta banca (cfr. atto n. 18.2 inc. AFC). Dalla documentazione bancaria risulta infatti ch'egli aveva dato ordine alla banca di trattenere la corrispondenza, conscio del fatto che « Tutte le comunicazioni trattenute in questo modo saranno considerate come debitamente ricevute dal Titolare del conto. La data riportata sul rispettivo documento sarà considerata come la data di ricezione da parte del Titolare del conto » (cfr. Domanda di apertura conto / deposito del 6 aprile 2011 [atto n. 18.2 pag. 2 inc. AFC]). Oltre a ciò dall'incarto risulta che l'interessato si era recato in banca il 10 agosto 2015 e per finire aveva deciso di chiudere il proprio conto bancario il 17 agosto 2015 (cfr. atto n. 18.2 pag. 6 inc. AFC). In tali circostanze, vi è motivo di presumere ch'esso abbia avuto conoscenza della lettera del 20 febbraio 2015 al più tardi in occasione della visita in banca nel mese di agosto 2015. Come visto, il Tribunale federale ha già avuto modo di considerare tale scritto come idoneo a fondare il modello di comportamento alla base della domanda raggruppata (cfr. considd. 4.2.1.2-4.2.1.3 del presente giudizio).</w:t>
      </w:r>
    </w:p>
    <w:p>
      <w:r>
        <w:rPr>
          <w:b/>
        </w:rPr>
        <w:t>E. 5.3</w:t>
      </w:r>
    </w:p>
    <w:p>
      <w:r>
        <w:t>Secondo quanto giustamente indicato dall'autorità inferiore (cfr. decisione impugnata, consid. 8), il ricorrente non ha reagito a detta lettera comprovando la sua conformità fiscale, sicché egli rientra nel modello di comportamento descritto nella domanda raggruppata. La concessione dell'assistenza amministrativa - è bene rammentarlo - non dipende infatti dalla questione se il ricorrente abbia soggettivamente voluto o meno regolarizzare i propri averi detenuti in Svizzera, né tantomeno dalla situazione patrimoniale del conto di cui era titolare durante il periodo oggetto della domanda, bensì unicamente dalla questione s'egli abbia oggettivamente fornito alla banca la prova di detta regolarizzazione nel termine impartito. Ciò che non risulta essere il caso, né tantomeno il ricorrente lo pretende, nell'evenienza concreta.</w:t>
      </w:r>
    </w:p>
    <w:p>
      <w:r>
        <w:rPr>
          <w:b/>
        </w:rPr>
        <w:t>E. 6</w:t>
      </w:r>
    </w:p>
    <w:p>
      <w:r>
        <w:t>Nel proprio gravame, il ricorrente lamenta infine una violazione delle garanzie procedurali, sotto forma di violazione grave del diritto di essere sentito, non avendogli l'AFC concesso una terza proroga per prendere posizione in relazione agli atti acquisiti prima dell'emanazione della decisione finale, nonostante lo stato di necessità decretato dal Consiglio di Stato l'11 marzo 2020 e la situazione di emergenza all'interno dello studio legale del proprio rappresentante (cfr. ricorso 22 luglio 2020, pp. 4-7).</w:t>
      </w:r>
    </w:p>
    <w:p>
      <w:r>
        <w:rPr>
          <w:b/>
        </w:rPr>
        <w:t>E. 6.1.1</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w:t>
      </w:r>
    </w:p>
    <w:p>
      <w:r>
        <w:rPr>
          <w:b/>
        </w:rPr>
        <w:t>E. 6.1.2</w:t>
      </w:r>
    </w:p>
    <w:p>
      <w:r>
        <w:t>Per costante giurisprudenza, dal diritto di essere sentito garantito dall'art. 29 cpv. 2 Cost. deve in particolare essere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135 I 279 consid. 2.3 e 132 V 368 consid. 3.1 pag. 370 e sentenze ivi citate). Va poi rammentato che quando il Tribunale federale controlla l'applicazione dell'art. 29 cpv. 2 Cost., esso ne determina il contenuto e la portata in funzione della situazione concreta e tenuto conto degli interessi in gioco (DTF 123 I 63 consid. 2d pag. 68 seg.). Vanno in particolare considerati, da un lato, il pregiudizio alla situazione dell'interessato così come risulta dalla decisione che deve essere adottata e, dall'altro, l'importanza e l'urgenza dell'intervento amministrativo (sentenza del TF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(DTF 123 I 63 consid. 2d pag. 69 seg.; DTF 111 Ia 273 consid. 2b), a condizione però che la violazione non sia di particolare gravità (DTF 126 I 68 consid. 2 pag. 72).</w:t>
      </w:r>
    </w:p>
    <w:p>
      <w:r>
        <w:rPr>
          <w:b/>
        </w:rPr>
        <w:t>E. 6.1.3</w:t>
      </w:r>
    </w:p>
    <w:p>
      <w:r>
        <w:t>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6.2</w:t>
      </w:r>
    </w:p>
    <w:p>
      <w:r>
        <w:t>A tal proposito, il Tribunale rileva come, già in sede di istruttoria dinnanzi all'AFC il ricorrente fosse patrocinato da un legale. Quest'ultimo si era annunciato all'amministrazione come rappresentate di A._______ con scritto del 23 dicembre 2019 - dunque ben prima della limitazione dell'accesso in Svizzera previsto dall'Ordinanza 2 Covid-19 (RS 818.101.24) e della chiusura delle frontiere con la Svizzera decretata dall'Italia a partire dal 26 marzo 2020 e perdurata fino al 15 giugno 2020 - dichiarando di non acconsentire alla trasmissione delle informazioni. Con scritto del 27 febbraio 2020 (notificato al ricorrente il giorno successivo), l'autorità inferiore ha accordato l'accesso agli atti e dato la possibilità di prendere posizione entro 10 giorni in merito alla prevista trasmissione delle informazioni. Il 28 febbraio 2020, pertanto prima della chiusura delle frontiere e della dichiarazione dello stato di necessità da parte del Consiglio di Stato del Canton Ticino dell'11 marzo 2020, al rappresentante dell'insorgente è stata trasmessa per e-mail la password per poter accedere agli atti dell'incarto. Con scritto trasmesso per email il 5 marzo 2020, l'AFC ha parzialmente accolto la domanda di proroga del 4 marzo 2020 del ricorrente, concedendogli un ulteriore termine di 10 giorni per prendere posizione a seguito dell'accesso agli atti. Con email del 13 marzo 2020, l'AFC ha parzialmente accolto la domanda del 12 marzo 2020 del ricorrente, concedendogli un ulteriore termine di 10 giorni con la precisazione che un ulteriore proroga non sarebbe stata concessa. Con email del 24 marzo 2020 l'AFC ha negato al rappresentante del ricorrente una terza proroga del termine. Nel termine assegnato il ricorrente ha quindi preso posizione per esteso motivando e ribadendo sostanzialmente la propria opposizione alla trasmissione degli atti all'autorità italiana richiedente. A seguito dell'emanazione della decisione impugnata il ricorrente ha sviluppato le medesime motivazioni e addotto le medesime conclusioni dinnanzi a questo tribunale, con il ricorso del 22 luglio 2020. Il ricorrente, a cui è stata trasmessa il 7 giugno 2022 la risposta dell'AFC, avrebbe inoltre avuto la possibilità di replicare o di trasmettere in ogni momento delle osservazioni spontanee a questo corte.</w:t>
      </w:r>
    </w:p>
    <w:p>
      <w:r>
        <w:rPr>
          <w:b/>
        </w:rPr>
        <w:t>E. 6.3</w:t>
      </w:r>
    </w:p>
    <w:p>
      <w:r>
        <w:t>Da quanto precede risulta dunque che il ricorrente è stato correttamente reso edotto sulle informazioni che l'autorità inferiore intende sottoporre all'autorità richiedente, sia in maniera generale con la pubblicazione nel Foglio federale del 10 dicembre 2019, sia puntualmente e personalmente con la comunicazione del 27 febbraio 2020 e infine con la decisione a lui destinata. In più occasioni e non da ultimo nell'ambito della procedura dinnanzi a questa corte egli ha disposto della facoltà di conferire liberamente e personalmente con il proprio legale, indipendentemente dalla chiusura delle frontiere durante il periodo di pandemia da Covid-19. Ciò posto, al fine d'impostare al meglio la propria difesa, l'insorgente non aveva necessità di recarsi fisicamente presso lo studio legale, disponendo della possibilità di ricorrere ad altri mezzi per conferire con il proprio avvocato, come il telefono, la messaggistica elettronica e cartacea e le videoconferenze a mezzo di internet. Quanto alla pretesa emergenza all'interno dello studio legale, già evocata nelle richieste di proroga del 12 e 23 marzo 2020, la stessa, seppur possibile, non risulta essere stata né maggiormente sostanziata, né in alcun modo documentata, e tantomeno per gli stessi motivi parrebbe aver toccato direttamente il rappresentante del ricorrente, malgrado egli vi accenni brevemente. Quand'anche si fosse presentata una tale evenienza d'altronde, a fronte delle dimensioni dello studio legale, si può presumere che uno dei dodici colleghi avrebbe potuto assicurare un'adeguata rappresentanza del ricorrente. A maggior ragione tenuto conto del minor carico di lavoro a seguito della sospensione dei termini decretata dai tribunali ticinesi dal 14 marzo 2020 al 27 aprile 2020. Tant'è che nei termini impartiti (protratti per due volte dall'AFC) e prima dell'emanazione della decisione impugnata il ricorrente ha espresso in maniera compiuta i motivi per i quali si opponeva alla trasmissione dei dati che lo riguardavano. Ad ogni modo, sin dall'avvio della procedura amministrativa dinnanzi all'AFC, nel tardo 2019, al ricorrente era noto quali documenti avrebbe dovuto produrre a comprova del rispetto dei propri obblighi fiscali nei confronti dell'autorità fiscale italiana, onde evitare la trasmissione a quest'ultima di informazioni sul conto a lui intestato presso B._______. Non da ultimo, come rettamente osservato dall'amministrazione, è opportuno rammentare che tra il 2020 e il 2021 il Consiglio federale non ha emanato alcuna disposizione o misura avente per oggetto la procedura di assistenza amministrativa in materia fiscale, il cui svolgimento è pertanto rimasto invariato durante tutto il periodo pandemico.</w:t>
      </w:r>
    </w:p>
    <w:p>
      <w:r>
        <w:rPr>
          <w:b/>
        </w:rPr>
        <w:t>E. 6.4</w:t>
      </w:r>
    </w:p>
    <w:p>
      <w:r>
        <w:t>In tali circostanze la mancata concessione di una terza proroga per prendere posizione prima dell'emanazione della decisione da parte dell'AFC - provvedimento giustificato dall'imperativo di celerità imposto dalla procedura di assistenza amministrativa in materia fiscale (art. 4 cpv. 2 LAAF; si cfr. anche le sentenze del TF 2C_804/2019 del 21 aprile 2020 consid. 3.3; 2C_815/2019 del 18 maggio 2020 consid. 3.1) - non configura una violazione dei diritti procedurali del ricorrente. In definitiva, la censura di violazione del diritto di essere sentito è del tutto ingiustificata e pertanto infondata.</w:t>
      </w:r>
    </w:p>
    <w:p>
      <w:r>
        <w:rPr>
          <w:b/>
        </w:rPr>
        <w:t>E. 7.1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7.2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7.3</w:t>
      </w:r>
    </w:p>
    <w:p>
      <w:r>
        <w:t>In definitiva, la decisione impugnata va dunque confermata e il ricorso del ricorrente integralmente respinto, con le precisazioni all'attenzione dell'autorità inferiore di cui al consid. 7.2 circa il principio di specialità.</w:t>
      </w:r>
    </w:p>
    <w:p>
      <w:r>
        <w:rPr>
          <w:b/>
        </w:rPr>
        <w:t>E. 8</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indennità a titolo di spese ripetibili (cfr.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