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A-3702/2011 vom 25. Januar 2016</w:t>
      </w:r>
    </w:p>
    <w:p>
      <w:r>
        <w:t>Bundesverwaltungsgericht, 2016-01-25, DE</w:t>
      </w:r>
    </w:p>
    <w:p>
      <w:r>
        <w:rPr>
          <w:b/>
        </w:rPr>
        <w:t xml:space="preserve">Quelle: </w:t>
      </w:r>
      <w:r>
        <w:t>https://mcp.opencaselaw.ch/entscheid/bvger_A-3702_2011</w:t>
      </w:r>
    </w:p>
    <w:p>
      <w:r>
        <w:t>FR: TAF A-3702/2011 du 25 janvier 2016</w:t>
      </w:r>
    </w:p>
    <w:p>
      <w:r>
        <w:t>IT: TAF A-3702/2011 del 25 gennaio 2016</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Zulässige Vorinstanzen sind die in Art. 33 VGG genannten Behörden. Als Verfügungen gelten nach Art. 5 Abs. 2 VwVG auch Beschwerdeentscheide im Sinne von Art. 61 VwVG. Die Vorinstanz ist eine Dienststelle der Bundesverwaltung im Sinne von Art. 33 Bst. d VGG. Ihr Beschwerdeentscheid stellt eine Verfügung im Sinne von Art. 5 VwVG und damit ein zulässiges Anfechtungsobjekt dar. Da zudem kein Ausnahmegrund nach Art. 32 VGG gegeben ist, ist das Bundesver­waltungsgericht zur Beurteilung der vorliegenden Beschwerde zuständig. Das Verfahren richtet sich nach dem VwVG, soweit das VGG nichts anderes bestimmt (Art. 37 VGG).</w:t>
      </w:r>
    </w:p>
    <w:p>
      <w:r>
        <w:rPr>
          <w:b/>
        </w:rPr>
        <w:t>E. 1.2</w:t>
      </w:r>
    </w:p>
    <w:p>
      <w:r>
        <w:t>Zur Beschwerde ist nach Art. 48 Abs.1 VwVG berechtigt, wer vor der Vorinstanz am Verfahren teilgenommen oder keine Möglichkeit zur Teilnahme erhalten hat, durch die angefochtene Verfügung besonders berührt ist und ein schutzwürdiges Interesse an deren Aufhebung oder Änderung hat. Der Beschwerdeführer ist mit seinen Begehren vor der Vorinstanz nicht durchgedrungen. Als formeller Adressat der angefochtenen Verfügung hat er daher ein aktuelles, schutzwürdiges Interesse an deren Aufhebung und ist folglich zur vorliegenden Beschwerde legitimiert.</w:t>
      </w:r>
    </w:p>
    <w:p>
      <w:r>
        <w:rPr>
          <w:b/>
        </w:rPr>
        <w:t>E. 1.3</w:t>
      </w:r>
    </w:p>
    <w:p>
      <w:r>
        <w:t>Auf die im Übrigen frist- und formgerecht eingereichte Beschwerde (Art. 50 und 52 VwVG) ist somit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w:t>
      </w:r>
    </w:p>
    <w:p>
      <w:r>
        <w:rPr>
          <w:b/>
        </w:rPr>
        <w:t>E. 3.1</w:t>
      </w:r>
    </w:p>
    <w:p>
      <w:r>
        <w:t>Die Erstinstanz hat mit ihrer Verfügung vom 10. August 2006 festgehalten, dass der Beschwerdeführer auf Aufforderung hin keine Belege für die Begründung einer Gebührenbefreiung vorgelegt habe und somit ab 1. Juni 2006 erneut der Gebührenpflicht unterstehe. Bei dieser Verfügung handelt es sich um eine Feststellungsverfügung im Sinne von Art. 25 Abs. 1 VwVG.</w:t>
      </w:r>
    </w:p>
    <w:p>
      <w:r>
        <w:rPr>
          <w:b/>
        </w:rPr>
        <w:t>E. 3.1.1</w:t>
      </w:r>
    </w:p>
    <w:p>
      <w:r>
        <w:t>Gemäss Art. 25 Abs. 1 VwVG kann die sachlich zuständige Behörde über den Bestand, den Nichtbestand oder den Umfang öffentlich-rechtlicher Rechte oder Pflichten von Amtes wegen oder auf Begehren eine Feststellungsverfügung erlassen (vgl. auch Art. 5 Abs. 1 Bst. b VwVG). Einem Feststellungsbegehren ist nach Art. 25 Abs. 2 VwVG nur zu entsprechen, wenn der Gesuchsteller ein schutzwürdiges Interesse nachweist. Als solches gilt ein rechtliches oder tatsächliches und aktuelles Interesse an der sofortigen Feststellung des Bestehens oder Nichtbestehens eines Rechtsverhältnisses. Ein Feststellungsbegehren ist weiter nur zulässig, wenn das schutzwürdige Interesse nicht ebenso gut mit einer Leistungs- oder Gestaltungsverfügung gewahrt werden kann (Subsidiarität der Feststellungsverfügung). Dieses Erfordernis gilt allerdings nicht absolut: Kann dem schutzwürdigen Interesse mit einer Feststellungsverfügung besser entsprochen werden als mit einer Leistungs- oder Gestaltungsverfügung, reicht dies aus (Urteile des Bundesverwaltungsgerichts A-1421/2015 vom 23. September 2015 E. 2.2.2, A-3505/2012 vom 24. Juni 2014 E. 1.3, A-­3343/2013 vom 10. Dezember 2013 E. 1.3.1; vgl. BGE 137 II 199 E. 6.5, 135 III 378 E. 2.2; Isabelle Häner, Praxiskommentar VwVG, Art. 25 Rz. 16 ff.).</w:t>
      </w:r>
    </w:p>
    <w:p>
      <w:r>
        <w:rPr>
          <w:b/>
        </w:rPr>
        <w:t>E. 3.1.2</w:t>
      </w:r>
    </w:p>
    <w:p>
      <w:r>
        <w:t>Soll eine Feststellungsverfügung von Amtes wegen erlassen werden, bedarf es dafür eines spezifischen, dem schutzwürdigen Interesse einer gesuchstellenden Person entsprechenden öffentlichen Feststellungsinteresses (Urteil des Bundesverwaltungsgerichts A-6175/2013 vom 12. Februar 2015 E. 2.7.2; BGE 137 II 199 E. 6.5.1; Kölz/Häner/Bertschi, Verwaltungsverfahren und Verwaltungsrechtspflege des Bundes, 3. Aufl. 2013, Rz. 348). Das erwähnte Gebot der Subsidiarität der Feststellungsverfügung gilt auch dann, wenn eine Behörde im Rahmen von Vollzugsaufgaben von sich aus eine Verfügung erlässt (BVGE 2009/9 E. 2.2; Urteil des Bundesverwaltungsgerichts A­-7169/2008 vom 19. Februar 2010 E. 2.7; Kölz/Häner/Bertschi, a.a.O., Rz. 351; Andreas Kley, Die Feststellungsverfügung, in: Bernhard Ehrenzeller et al. [Hrsg.], Festschrift für Yvo Hangartner, 1998, S. 229 ff., S. 239). Eine ohne die Erfüllung der hiervor genannten Voraussetzungen erlassene Feststellungsverfügung ist nach bundesgerichtlicher Rechtsprechung aufzuheben (Urteil des Bundesgerichts 2C_737/2010 vom 18. Juni 2011 E. 4.6; vgl. auch Kölz/Häner/Bertschi, a.a.O., Rz. 357).</w:t>
      </w:r>
    </w:p>
    <w:p>
      <w:r>
        <w:rPr>
          <w:b/>
        </w:rPr>
        <w:t>E. 3.1.3</w:t>
      </w:r>
    </w:p>
    <w:p>
      <w:r>
        <w:t>Dass die Erstinstanz das Mittel der Feststellungsverfügung wählte, ist vorliegend nicht zu beanstanden. Zwar wäre eine Leistungsverfügung besser geeignet gewesen, um die in einen vergangenen Zeitraum betreffende Gebührenpflicht zu begründen, doch richtete sich die feststellende Betrachtung der Erstinstanz ebenso in die Zukunft und zwar mit unbestimmtem Zeithorizont (vgl. e contrario Urteil des Bundesverwaltungsgerichts A-3982/2015 vom 4. Januar 2016 E. 4.3.1 ff.). Das Feststellungsinteresse der Erstinstanz ist somit gegeben.</w:t>
      </w:r>
    </w:p>
    <w:p>
      <w:r>
        <w:rPr>
          <w:b/>
        </w:rPr>
        <w:t>E. 3.2</w:t>
      </w:r>
    </w:p>
    <w:p>
      <w:r>
        <w:t>Gegenstand des Beschwerdeverfahrens kann nur sein, was Gegenstand der vorinstanzlichen Verfügung war oder nach richtiger Gesetzesauslegung hätte sein sollen. Gegenstände, über die die Vorinstanz nicht entschieden hat und über die sie nicht zu entscheiden hatte, sind aus Gründen der funktionellen Zuständigkeit durch die zweite Instanz nicht zu beurteilen (Urteile des Bundesgerichts 2A.121/2004 vom 16. März 2005 E. 2.1, 2C_642/2007 vom 3. März 2008 E. 2.2; statt vieler: BVGE 2010/12 E. 1.2.1; André Moser/Michael Beusch/Lorenz Kneubühler, Prozessieren vor dem Bundesverwaltungsgericht, 2. Aufl. 2013, Rz. 2.8 mit Hinweisen).</w:t>
      </w:r>
    </w:p>
    <w:p>
      <w:r>
        <w:rPr>
          <w:b/>
        </w:rPr>
        <w:t>E. 3.2.1</w:t>
      </w:r>
    </w:p>
    <w:p>
      <w:r>
        <w:t>Der Regelungsgehalt der Feststellungsverfügung ist grundsätzlich im Zeitpunkt ihres Erlasses im Sinne einer Momentaufnahme auszulegen. Die Feststellung der Gebührenpflicht durch die Erstinstanz erfolgte im Rahmen einer routinemässigen Überprüfung der Voraussetzungen für die Gebührenbefreiung. Ihr Ziel ist es, einerseits rückwirkend - ab Erlass ihrer Verfügung - bis zum 1. Juni 2006 und andererseits in die Zukunft wirkend die Gebührenpflicht des Beschwerdeführers festzuhalten und zwar bis zu jenem Zeitpunkt, in welchem ein Umstand eintritt, welcher die Befreiung von der Gebührenpflicht rechtfertigen würde. Solche Gründe wären etwa darin zu sehen, dass der Beschwerdeführer über kein Empfangsgerät mehr verfügt, ein Anspruch auf EL begründet resp. bestätigt wird oder sich der Beschwerdeführer bei der Erstinstanz infolge Wegzugs abmeldet. Der Eintritt eines solchen Umstandes begrenzt sodann die offene Geltungsdauer der Feststellungsverfügung, ändert sich doch damit die festgestellte Rechtsfolge und schafft Voraussetzungen für eine neue Verfügung. Ein solcher Umstand ist mit der Abmeldung vom privaten Radio- und Fernsehempfang des Beschwerdeführers per 28. Februar 2007 eingetreten, womit der Gegenstand der Verfügung vom 10. August 2006 nachträglich auf die Zeitperiode zwischen dem 1. Juni 2006 und dem 28. Februar 2007 beschränkt wurde.</w:t>
      </w:r>
    </w:p>
    <w:p>
      <w:r>
        <w:rPr>
          <w:b/>
        </w:rPr>
        <w:t>E. 3.2.2</w:t>
      </w:r>
    </w:p>
    <w:p>
      <w:r>
        <w:t>Zu beurteilen ist somit vorliegend die Frage, ob zu Recht eine Gebührenpflicht des Beschwerdeführers für den Zeitraum vom 1. Juni 2006 bis zum 28. Februar 2007 festgestellt wurde.</w:t>
      </w:r>
    </w:p>
    <w:p>
      <w:r>
        <w:rPr>
          <w:b/>
        </w:rPr>
        <w:t>E. 4</w:t>
      </w:r>
    </w:p>
    <w:p>
      <w:r>
        <w:t>Aus den Akten geht - gestützt auf rechtskräftige Verfügungen und Entscheide der SVA resp. des Versicherungsgerichts des Kantons Z. _______ - hervor, dass ein Anspruch auf EL für den fraglichen Zeitraum nicht gegeben ist. Die Erstinstanz sowie - in ihrem Beschwerdeentscheid - die Vorinstanz stellten somit zu Recht den Anspruch der Erstinstanz fest, dem Beschwerdeführer ab dem 1. Juni 2006 die Gebühren für den privaten Radio- und Fernsehempfang in Rechnung zu stellen. Dieser Anspruch endete am 28. Februar 2007, als sich der Beschwerdeführer ins Ausland abmeldete, was allerdings von der Erstinstanz in Zweifel gezogen wurde. Sie führt aus, er habe sich nie bei seiner Wohngemeinde abgemeldet. Das Verhalten des Beschwerdeführers muss vorliegend nicht qualifiziert werden und ist letztendlich unerheblich, kann den Akten doch entnommen werden, dass er zwischen dem 26. März 2007 und dem 25. Juli 2007 eine Haftstrafe verbüsste und zumindest in diesem Zeitraum von einer Entrichtung der Gebühren für den privaten Radio- und Fernsehempfang befreit war. Jedenfalls entfaltete die Verfügung vom 10. August 2006 ab dem 1. März 2007 keine Wirkung mehr. Insgesamt ist somit festzuhalten, dass die Vorinstanz die Verfügung der Erstinstanz zu Recht bestätigt hat. Ungeachtet davon, dass betreffend der zu beurteilenden Zeitperiode für die Forderung die fünfjährige Verjährungsfrist (vgl. Art. 61 Abs. 3 des Bundesgesetzes über Radio und Fernsehen vom 24. März 2006 [RTVG, SR 784.40]) abgelaufen sein dürfte, erweist sich der angefochtene Entscheid somit als rechtmässig und die dagegen erhobene Beschwerde ist abzuweisen.</w:t>
      </w:r>
    </w:p>
    <w:p>
      <w:r>
        <w:rPr>
          <w:b/>
        </w:rPr>
        <w:t>E. 5</w:t>
      </w:r>
    </w:p>
    <w:p>
      <w:r>
        <w:t>Bei diesem Verfahrensausgang gilt der Beschwerdeführer als unterliegende Partei, weshalb er in Anwendung von Art. 63 Abs. 1 VwVG die Verfahrenskosten zu tragen hätte. Da ihm für das vorliegende Verfahren jedoch die unentgeltliche Prozessführung i.S.v. Art. 65 Abs. 1 VwVG gewährt wurde, ist er von der Übernahme der Verfahrenskosten befreit. Dem nicht vertretenen und unterliegenden Beschwerdeführer steht keine Parteientschädigung zu (Art. 64 Abs. 1 VwVG). Die Vorinstanz als Bundesbehörde hat unabhängig vom Verfahrensausgang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