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A-3697/2014 vom 9. Juni 2015</w:t>
      </w:r>
    </w:p>
    <w:p>
      <w:r>
        <w:t>Bundesverwaltungsgericht, 2015-06-09, DE</w:t>
      </w:r>
    </w:p>
    <w:p>
      <w:r>
        <w:rPr>
          <w:b/>
        </w:rPr>
        <w:t xml:space="preserve">Quelle: </w:t>
      </w:r>
      <w:r>
        <w:t>https://mcp.opencaselaw.ch/entscheid/bvger_A-3697_2014</w:t>
      </w:r>
    </w:p>
    <w:p>
      <w:r>
        <w:t>FR: TAF A-3697/2014 du 9 juin 2015</w:t>
      </w:r>
    </w:p>
    <w:p>
      <w:r>
        <w:t>IT: TAF A-3697/2014 del 9 giugno 2015</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Bundesverwaltungsgerichts A-6437/2012 vom 6. November 2013 E. 1.2.2 f., A-6181/2012 vom 3. September 2013 E. 1.2.2 f., sowie [erstmals] A-707/2013 vom 25. Juli 2013 insbesondere E. 1.2.3 und 4.2 f., dieses bestätigt durch BGE 140 II 202). Das Verfahren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Wie im Urteil des Bundesverwaltungsgerichts A-6181/2012 vom 3. September 2013 ausgeführt, ist vorliegend in materieller Hinsicht noch das Bundesgesetz vom 2. September 1999 über die Mehrwertsteuer (aMWSTG; AS 2000 1300 ff.) mitsamt der darin enthaltenen Vorschrift zur Ermessenseinschätzung von Art. 60 aMWSTG anwendbar, wogegen in verfahrensrechtlicher Hinsicht beim gegenwärtig zu beurteilenden Fall das neue Recht, also das Bundesgesetz vom 12. Juni 2009 über die Mehrwertsteuer (MWSTG; SR 641.20), insbesondere Art. 81 MWSTG, anwendbar ist (vgl. E. 1.2.1 des Urteils).</w:t>
      </w:r>
    </w:p>
    <w:p>
      <w:r>
        <w:rPr>
          <w:b/>
        </w:rPr>
        <w:t>E. 1.3</w:t>
      </w:r>
    </w:p>
    <w:p>
      <w:r>
        <w:t>Im Verwaltungsverfahren und bei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mehr findet. Gelangt der Richter aufgrund der Beweiswürdigung nicht zur Überzeugung, eine rechtserhebliche Tatsache habe sich verwirklicht,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A-4206/2012 vom 13. März 2013 E. 2.2.1).</w:t>
      </w:r>
    </w:p>
    <w:p>
      <w:r>
        <w:rPr>
          <w:b/>
        </w:rPr>
        <w:t>E. 1.4</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mit Hinweisen).</w:t>
      </w:r>
    </w:p>
    <w:p>
      <w:r>
        <w:rPr>
          <w:b/>
        </w:rPr>
        <w:t>E. 1.5</w:t>
      </w:r>
    </w:p>
    <w:p>
      <w:r>
        <w:t>Der Anspruch auf rechtliches Gehör (Art. 29 Abs. 2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Dies heisst freilich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124 V 180 E. 1a, 118 V 56 E. 5b; Urteil des Bundesverwaltungsgerichts A-1805/2014 vom 16. Dezember 2014 E. 3.3; Michele Albertini, Der verfassungsmässige Anspruch auf rechtliches Gehör im Verwaltungsverfahren des modernen Staates, 2000, S. 403 f., mit Hinweisen).</w:t>
      </w:r>
    </w:p>
    <w:p>
      <w:r>
        <w:rPr>
          <w:b/>
        </w:rPr>
        <w:t>E. 2.1</w:t>
      </w:r>
    </w:p>
    <w:p>
      <w:r>
        <w:t>Hebt die Beschwerdeinstanz den angefochtenen Entscheid auf und weist sie die Sache zur Neubeurteilung an die Vorinstanz zurück, so hat diese die Erwägungen, mit denen die Rückweisung begründet wird, ihrem neuen Entscheid zugrunde zu legen (vgl. Urteil des Bundesverwaltungsgerichts A-5925/2011 vom 26. April 2012 E. 2.1; Philippe Weissenberger, in: Bernhard Waldmann/Philippe Weissenberger [Hrsg.], Praxiskommentar zum Bundesgesetz über das Verwaltungsverfahren, 2009, Art. 61 N. 28, mit Hinweisen). Soweit das Dispositiv eines Rückweisungsentscheids auf die Erwägungen verweist, beinhaltet dies nach der Rechtsprechung die verbindliche Weisung an die Vorinstanz, sich an die Rechtsauffassung zu halten, mit der das Gericht die Rückweisung begründet hat (Urteil des Eidgenössischen Versicherungsgerichts H 129/04 vom 14. Januar 2005 E. 1.2; Urteil des Bundesverwaltungsgerichts A 5925/2011 vom 26. April 2012 E. 2.1). Wird der neue Entscheid der unteren Instanz, an welche das Bundesverwaltungsgericht die Sache zur Neubeurteilung zurückgewiesen hat, wiederum an dieses Gericht weitergezogen, ist eine freie Überprüfung durch das ein zweites Mal angerufene Gericht nur noch möglich betreffend jene Punkte, die im Rückweisungsentscheid nicht entschieden wurden, oder bei Vorliegen neuer Sachumstände (Urteil des Bundesverwaltungsgerichts A-1513/2006 vom 24. April 2009 E. 2.3, mit Hinweisen).</w:t>
      </w:r>
    </w:p>
    <w:p>
      <w:r>
        <w:rPr>
          <w:b/>
        </w:rPr>
        <w:t>E. 2.2</w:t>
      </w:r>
    </w:p>
    <w:p>
      <w:r>
        <w:t>Gemäss Dispositiv-Ziff. 1 und 2 seines in Rechtskraft erwachsenen Urteils A-6181/2012 vom 3. September 2013 hat das Bundesverwaltungsgericht die Beschwerde "im Sinne der Erwägungen" gutgeheissen und die Angelegenheit "zur Fällung eines neuen Entscheids im Sinne der Erwägungen" an die Vorinstanz zurückgewiesen. In den Erwägungen des Urteils hielt das Gericht fest, dass die Angelegenheit "zur Durchführung einer neuen Schätzung der Einnahmen aus erotischen Dienstleistungen nach pflichtgemässem Ermessen [an die ESTV] zurückzuweisen" sei (E. 6 des Urteils). Es erklärte dabei, die Vorinstanz habe "insbesondere den angewendeten Ansatz pro Dienstleistung zu begründen" (E. 5.3 des Urteils). Bevor das Gericht zu den genannten Anordnungen und Erwägungen gelangt ist, hatte es in seinem Urteil zunächst nach eingehender Würdigung der seinerzeit vorliegenden Akten sowie der diesbezüglichen Vorbringen der Verfahrensbeteiligten die Beschwerdeführerin hinsichtlich der in ihrem Club erbrachten erotischen Dienstleistungen als mehrwertsteuerliche Leistungserbringerin und damit als für die entsprechenden Umsätze steuerpflichtig qualifiziert (vgl. E. 3 f. des Urteils). Ferner hatte das Bundesverwaltungsgericht den Schluss der Vorinstanz bestätigt, dass die Voraussetzungen für eine Ermessenseinschätzung dieser Umsätze erfüllt seien (vgl. E. 5.1 des Urteils). Die teilweise Aufhebung des "Einspracheentscheids" der ESTV vom 30. Oktober 2012 und die Rückweisung basierten somit weder auf einer falschen mehrwertsteuerlichen Zuordnung der erotischen Dienstleistungen zur Beschwerdeführern noch auf einer zu Unrecht vorgenommenen Schätzung der in Zusammenhang mit diesen Leistungen angefallenen Umsätze. Ausschlaggebend dafür war stattdessen einzig der Umstand, dass das Bundesverwaltungsgericht eine Ermessensüberschreitung der Vorinstanz bei der Durchführung der (zu Recht erfolgten) Schätzung bejahte. Eine Ermessensüberschreitung lag nach Ansicht des Gerichts aufgrund einer nicht hinreichenden Begründung des von der ESTV (bei der ursprünglichen Schätzung) herangezogenen Ansatzes von Fr. 150.- pro erotische Dienstleistung vor (vgl. E. 5.2.3 des Urteils).</w:t>
      </w:r>
    </w:p>
    <w:p>
      <w:r>
        <w:rPr>
          <w:b/>
        </w:rPr>
        <w:t>E. 2.3</w:t>
      </w:r>
    </w:p>
    <w:p>
      <w:r>
        <w:t>Das Bundesverwaltungsgericht hat mit seinem Urteil vom 3. September 2013 die Sache also einzig zur Durchführung weiterer Sachverhaltsabklärungen und zur Fällung eines neuen Entscheids betreffend die Höhe der im Rahmen der Ermessenseinschätzung bestimmten Umsätze aus erotischen Dienstleistungen in der Zeit vom 1. Juni 2006 bis 31. Dezember 2009 zurückgewiesen. Hingegen hat das Gericht mit diesem Urteil die für die Vorinstanz und die Beschwerdeführerin verbindliche Rechtsauffassung geäussert, dass die erwähnten Umsätze der Beschwerdeführerin zuzuordnen sind und diesbezüglich die Voraussetzungen für eine Einschätzung nach pflichtgemässem Ermessen erfüllt sind. An diese (eigene) Rechtsauffassung ist im vorliegenden Verfahren auch das Bundesverwaltungsgericht gebunden, da keine neuen Sachumstände geltend gemacht werden oder ersichtlich sind (vgl. E. 2.1). Gemäss dem Dargelegten besteht kein Anlass, erneut über die Frage der mehrwertsteuerlichen Zurechnung der Umsätze aus erotischen Dienstleistungen der im Sauna-Club B._______ tätigen Sexarbeiterinnen zur Beschwerdeführerin und über die Voraussetzungen der Ermessenseinschätzung zu befinden. Soweit die Verfahrensbeteiligten mit ihren Ausführungen diese Themen im vorliegenden Beschwerdeverfahren ein weiteres Mal (teilweise weitschweifig) vorbringen, ist darauf nicht weiter einzugehen. Dies gilt namentlich hinsichtlich der Behauptung der Beschwerdeführerin, eine mehrwertsteuerliche Aufrechnung des Umsatzes aus erotischen Dienstleistungen habe für sie eine untragbare Erhöhung der Gewinnsteuerbelastung zur Folge (vgl. Beschwerde vom 1. Juli 2014, S. 18 f.).</w:t>
      </w:r>
    </w:p>
    <w:p>
      <w:r>
        <w:rPr>
          <w:b/>
        </w:rPr>
        <w:t>E. 2.4</w:t>
      </w:r>
    </w:p>
    <w:p>
      <w:r>
        <w:t>Im Rahmen der Überprüfung der von der Vorinstanz mit dem Einspracheentscheid vom 30. Oktober 2012 vorgenommenen Ermessenseinschätzung erklärte das Bundesverwaltungsgericht in seinem Urteil vom 3. September 2013 sodann, die hinsichtlich der im Club der Beschwerdeführerin veranstalteten Partys entscheidrelevanten Fakten seien aus den Akten genügend ersichtlich (E. 3.2.3 des Urteils). Das Gericht bezog sich dabei auf Aussagen von E._______ (Inhaber des Einzelunternehmens F._______) anlässlich der bei der Beschwerdeführerin durchgeführten Mehrwertsteuerkontrolle, wie sie in einem Kontrollbericht der ESTV vom 8. Dezember 2011 festgehalten sind (vgl. E. 3.2.1 und E. 3.2.3 des Urteils; Akten Vorinstanz, act. 9 Beiblatt 11). Die Beschwerdeführerin bestreitet zwar im vorliegenden Verfahren, dass in ihrem Club während den streitbetroffenen Steuerperioden Partys stattgefunden hätten. Sie hat dabei aber keine neuen Sachumstände genannt, welche es mit Blick auf die Bindung an die im Rückweisungsentscheid geäusserte Rechtsauffassung des Gerichts (vgl. E. 2.1) erlauben würden, auf die in diesem Entscheid bereits bejahte Frage zurückzukommen, ob in ihrem Club tatsächlich Partys durchgeführt worden sind. Im Folgenden ist deshalb bezüglich der Partys auf die erwähnten, vom Bundesverwaltungsgericht im Rückweisungsurteil als stichhaltig gewürdigten Aussagen E._______s abzustellen.</w:t>
      </w:r>
    </w:p>
    <w:p>
      <w:r>
        <w:rPr>
          <w:b/>
        </w:rPr>
        <w:t>E. 3.1</w:t>
      </w:r>
    </w:p>
    <w:p>
      <w:r>
        <w:t>Es besteht hier kein Anlass, die bereits im Rückweisungsentscheid A 6181/2012 vom 3. September 2013 (in E. 2.8 ff.) ausführlich dargestellten Grundsätze zur altrechtlichen Ermessenseinschätzung und zu deren gerichtlichen Überprüfung erneut wiederzugeben. Immerhin ist in Erinnerung zu rufen, dass bei einer Ermessenseinschätzung die brauchbaren Teile der Buchhaltung sowie allenfalls vorhandene Belege soweit als möglich zu berücksichtigen sind (vgl. dazu Urteil des Bundesverwaltungsgerichts A-6181/2012 vom 3. September 2013 E. 2.9.2). Es ist ferner darauf hinzuweisen, dass es rechtsprechungsgemäss im Rahmen einer Ermessenstaxation zulässig ist,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sind ähnlich wie in der gesamten Kontrollperiode (vgl. Urteile des Bundesverwaltungsgerichts A-6181/2012 vom 3. September 2013 E. 2.9.3, A 852/2012 vom 27. September 2012 E. 2.3.4 [je mit Hinweisen]).</w:t>
      </w:r>
    </w:p>
    <w:p>
      <w:r>
        <w:rPr>
          <w:b/>
        </w:rPr>
        <w:t>E. 3.2</w:t>
      </w:r>
    </w:p>
    <w:p>
      <w:r>
        <w:t>Vorliegend sind die Voraussetzungen für die Vornahme einer Ermessenseinschätzung - wie ausgeführt (E. 2.3) - als erfüllt zu betrachten (erste Stufe). Es bleibt daher entsprechend den im erwähnten Rückweisungsentscheid vom 3. September 2013 dargelegten Grundsätzen einzig zu untersuchen, ob sich die nunmehr mit dem Einspracheentscheid vom 2. Juni 2014 vorgenommene Schätzung der Vorinstanz bereits im Rahmen der durch das Bundesverwaltungsgericht (von sich aus) durchzuführenden Prüfung als pflichtwidrig erweist (zweite Stufe) und ob im Falle der Verneinung dieser Frage der steuerpflichtigen Beschwerdeführerin der Nachweis der Unrichtigkeit der Schätzung gelingt (dritte Stufe; vgl. Urteil des Bundesverwaltungsgerichts A 6181/2012 vom 3. September 2013 E. 2.8 ff., insbesondere E. 2.11.3). Bei der ersteren Prüfung (zweite Stufe) setzt das Bundesverwaltungsgericht praxisgemäss nur dann sein eigenes Ermessen an die Stelle desjenigen der Vorinstanz, wenn dieser bei der Schätzung erhebliche Ermessensfehler unterlaufen sind (Urteil des Bundesverwaltungsgerichts A 6181/2012 vom 3. September 2013 E. 2.11.2, mit Hinweisen). Um den erwähnten Nachweis der Unrichtigkeit der Ermessenseinschätzung zu erbringen (dritte Stufe), hat die steuerpflichtige Person darzulegen, dass die von der ESTV vorgenommene Schätzung offensichtlich fehlerhaft ist, und hat sie auch den Beweis für ihre vorgebrachten Behauptungen zu erbringen (Urteil des Bundesverwaltungsgerichts A-6181/2012 vom 3. September 2013 E. 2.11.3).</w:t>
      </w:r>
    </w:p>
    <w:p>
      <w:r>
        <w:rPr>
          <w:b/>
        </w:rPr>
        <w:t>E. 4.1.1</w:t>
      </w:r>
    </w:p>
    <w:p>
      <w:r>
        <w:t>Im vorliegenden Fall bezahlten nach den insoweit unbestritten gebliebenen Ausführungen der Vorinstanz die männlichen Kunden beim Club der Beschwerdeführerin einen Eintritt von Fr. 90.- für den zeitlich unbegrenzten Zutritt zur Infrastruktur (Dampfbad, Whirlpool und Sauna), die Benutzung diverser Gegenstände (wie z.B. Bademäntel und Handtücher), den Zugang zum Salatbuffet, eine warme Verpflegung am Abend und für Softdrinks. Für die Benutzung einer Luxussuite hatten die Kunden der Beschwerdeführerin zusätzlich Fr. 100.- zu bezahlen. Paare erhielten gegen ein Eintrittsgeld von Fr. 150.- zusätzlich zu den hinsichtlich des Eintrittsgeldes der Herren aufgezählten Leistungen zwei Willkommensgeschenke (bzw. "Welcome-Cüpli") sowie das Recht, von den allgemein zugänglichen Räumen getrennte Standard-Zimmer zu benutzen. Zudem stellte die Beschwerdeführerin den in ihrem Club tätigen Sexarbeiterinnen gegen ein Eintrittsgeld dieselben Leistungen wie den Herren, das Recht zur Benutzung der Standard-Zimmer sowie diverses Verbrauchsmaterial (wie z.B. Kondome und Gleitcrème) zur Verfügung. Die Vorinstanz ging im angefochtenen Einspracheentscheid vom 2. Juni 2014 in Übereinstimmung mit den entsprechenden Angaben in den von der Beschwerdeführerin erstellten Kassa-Berichten davon aus, dass das Eintrittsgeld für die Prostituierten Fr. 50.- betrug (vgl. Ziff. II E. 4.7.2 des Einspracheentscheids und Akten Vorinstanz, act. 16). Anders als im Einspracheverfahren behauptet die Beschwerdeführerin zu Recht nicht mehr, das entsprechende Eintrittsgeld habe Fr. 100.- betragen (vgl. Einsprache, S. 4; s. dazu auch die Beschwerde vom 1. Juli 2014, S. 5).</w:t>
      </w:r>
    </w:p>
    <w:p>
      <w:r>
        <w:rPr>
          <w:b/>
        </w:rPr>
        <w:t>E. 4.1.2</w:t>
      </w:r>
    </w:p>
    <w:p>
      <w:r>
        <w:t>Mit Blick auf das Urteil des Bundesverwaltungsgerichts A 6181/2012 vom 3. September 2013 und die darin gewürdigten Aussagen E._______s (vgl. dazu vorn E. 2.4) ist sodann mit der Vorinstanz davon auszugehen, dass die Beschwerdeführerin jedes Jahr vier Partys veranstaltete, bei welchen die Herren einen Betrag von Fr. 300.- für die Teilnahme sowie die Inanspruchnahme erotischer Dienstleistungen bezahlten. Von diesem Betrag wurden nach Auskunft E._______s jeweils Fr. 70.- als "Eintritte Herren" verbucht und Fr. 230.- als Entgelt für die zu erbringenden erotischen Dienstleistungen unter den an der Party teilnehmenden Sexarbeiterinnen aufgeteilt, wobei die Fr. 230.- von der Beschwerdeführerin weder verbucht noch deklariert worden sind. Die Sexarbeiterinnen hatten (wiederum nach Darstellung E._______s) an den Partytagen kein Eintrittsgeld entrichten müssen.</w:t>
      </w:r>
    </w:p>
    <w:p>
      <w:r>
        <w:rPr>
          <w:b/>
        </w:rPr>
        <w:t>E. 4.2.1</w:t>
      </w:r>
    </w:p>
    <w:p>
      <w:r>
        <w:t>Die ESTV stützt sich bei der Berechnung des Umsatzes aus erotischen Dienstleistungen an den Party-Tagen auf die Annahme, dass die Anzahl der teilnehmenden Herren der durchschnittlichen Zahl von Männerbesuchen pro Tag bei der Beschwerdeführerin entspricht. Zur Ermittlung der letzteren Zahl zieht die Vorinstanz die Zahl der Eintritte Herren pro Jahr gemäss den Tagesabrechnungen bzw. den Kassa-Berichten der Beschwerdeführerin heran und dividiert diese durch die Anzahl Tage eines Jahres bzw. durch 365 (vgl. Ziff. II E. 3.4 Abs. 1 des Einspracheentscheids vom 2. Juni 2014 und Akten Vorinstanz, act. 17 Beilage 1). Den Umsatz aus erotischen Dienstleistungen an Party-Tagen errechnet die Vorinstanz sodann, indem sie die Zahl der an einer Party teilnehmenden Herren mit der Anzahl Partys pro Jahr und dem Eintrittspreis für die Herren (Fr. 300.-) multipliziert und vom Ergebnis pro Partyteilnehmer des entsprechenden Jahres den bereits verbuchten und besteuerten Betrag von Fr. 70.- pro Eintritt abzieht (vgl. Ziff. II E. 3.4 Abs. 1 des Einspracheentscheids vom 2. Juni 2014).</w:t>
      </w:r>
    </w:p>
    <w:p>
      <w:r>
        <w:rPr>
          <w:b/>
        </w:rPr>
        <w:t>E. 4.2.2</w:t>
      </w:r>
    </w:p>
    <w:p>
      <w:r>
        <w:t>Die hiervor (E. 4.2.1) beschriebene vorinstanzliche Schätzung des nachzubesteuernden Umsatzes aus erotischen Dienstleistungen an den Party-Tagen ist vom Bundesverwaltungsgericht mit einer gewissen Zurückhaltung zu überprüfen (vgl. E. 3.2). Wie aufgezeigt, hat die ESTV zur Ermittlung des Umsatzes aus erotischen Dienstleistungen an den Party-Tagen insbesondere die vorhandenen Angaben aus den Kassa-Berichten der Beschwerdeführerin herangezogen. Damit hat sie in der bei einer Ermessenseinschätzung gebotenen Weise die vorhandenen Belege soweit als möglich berücksichtigt (vgl. E. 3.1). Sodann erscheint die Annahme der Vorinstanz, dass die Durchschnittszahl an (männlichen) Party-Teilnehmern je Party-Tag gleich hoch wie die durchschnittliche Anzahl Männer an einem Nicht-Party-Tag war, als plausibel. Jedenfalls kann diese Annahme mangels gegenteiliger Anhaltspunkte sowie mit Blick auf die gebotene Zurückhaltung bei der richterlichen Überprüfung der vorinstanzlichen Schätzung (vgl. E. 3.2) nicht als Ermessensüberschreitung gewertet werden. Auch im Übrigen erscheint die hier in Frage stehende Schätzung des Umsatzes aus erotischen Dienstleistungen an den Party-Tagen nicht als bereits im Rahmen der durch das Gericht mit der gebotenen Zurückhaltung vorzunehmenden Prüfung als pflichtwidrig.</w:t>
      </w:r>
    </w:p>
    <w:p>
      <w:r>
        <w:rPr>
          <w:b/>
        </w:rPr>
        <w:t>E. 4.3.1</w:t>
      </w:r>
    </w:p>
    <w:p>
      <w:r>
        <w:t>Mit Bezug auf die Nicht-Party-Tage (bei einem vollen Jahr 361 Tage) ging die Vorinstanz von der gemäss dem vorne genannten Vorgehen ermittelten Zahl an Männerbesuchen pro Jahr aus, zog davon die kalkulierte Anzahl der Eintritte der Herren an Party-Tagen ab und dividierte das Ergebnis durch die Zahl an Nicht-Party-Tagen pro Jahr (361; vgl. Ziff. II E. 3.4 Abs. 2 des Einspracheentscheids vom 2. Juni 2014 und Akten Vorinstanz, act. 17 Beilage 1). Die so ermittelte durchschnittliche Anzahl der Männerbesuche pro Nicht-Party-Tag multiplizierte die ESTV mit dem einem von ihr ursprünglich auf Fr. 150.- geschätzten Preis für erotische Dienstleistungen (bzw. einem ursprünglich auf diesen Betrag geschätzten durchschnittlichen Preis der von einem Mann pro Nicht-Party-Tag konsumierten erotischen Dienstleistungen) und mit der Anzahl der Nicht-Party-Tage pro Jahr. Schliesslich zog die Vorinstanz vom Ergebnis die Summe der von den Damen im entsprechenden Jahr bezahlten Eintrittsentgelte ab, weil dieser Betrag bereits in die Steuerbemessungsgrundlage geflossen sei. Dies ergibt nach Auffassung der ESTV den nachzubesteuernden Umsatz aus erotischen Dienstleistungen der Prostituierten an Nicht-Party-Tagen. Im Einspracheentscheid vom 2. Juni 2014 korrigierte die ESTV ihre Schätzung des Preises für erotische Dienstleistungen (bei im Übrigen gleichem Vorgehen) auf Fr. 115.-, und zwar gestützt auf im Internet publizierte Erfahrungsberichte von Besuchern des Sauna-Clubs der Beschwerdeführerin. Die ESTV wies dabei darauf hin, dass mit diesem "nachwiesenermassen tiefen Ansatz" dem Umstand genügend Rechnung getragen werde, dass womöglich nicht sämtliche Besucher erotische Dienstleistungen konsumierten (Ziff. II E. 4.7.2 Abs. 5 des Einspracheentscheids vom 2. Juni 2014).</w:t>
      </w:r>
    </w:p>
    <w:p>
      <w:r>
        <w:rPr>
          <w:b/>
        </w:rPr>
        <w:t>E. 4.3.2</w:t>
      </w:r>
    </w:p>
    <w:p>
      <w:r>
        <w:t>Die hiervor genannte, mit dem Einspracheentscheid vom 2. Juni 2014 vorgenommene bzw. korrigierte Schätzung der Umsätze aus erotischen Dienstleistungen an den Nicht-Party-Tagen ist im Rahmen des vorliegenden Beschwerdeverfahrens ebenfalls mit einer gewissen Zurückhaltung zu überprüfen (vgl. E. 3.2). Die in diesem Kontext seitens der Vorinstanz vorgenommene Ermittlung der durchschnittlichen Zahl an Männerbesuchen pro Nicht-Party-Tag beruht zum einen auf den nach dem vorstehend Ausgeführten (vgl. E. 4.2.2) in pflichtgemässer Weise ermittelten Zahlen an Männerbesuchen pro Jahr und zum anderen auf der von der ESTV in Ermangelung weiterer verfügbarer Belege zu Recht getroffenen Annahme, dass sich die durchschnittliche Zahl an Party-Teilnehmern pro Party-Tag nicht von der durchschnittlichen Zahl männlicher Besucher je Nicht-Party-Tag unterschied (vgl. zu dieser Annahme vorn E. 4.2). Es lässt sich nicht mit Erfolg in Abrede stellen, dass die Multiplikation der von der ESTV folgerichtig ermittelten durchschnittlichen Zahl der Männerbesuche pro Nicht-Party-Tag mit dem Preis für erotische Dienstleistungen pro Besuch und der Zahl der jährlichen Nicht-Party-Tage zum nachzubesteuernden Umsatz dieser Tage führt. Fraglich und im Folgenden zu klären ist aber, ob die angefochtene Schätzung deshalb pflichtwidrig ist, weil die Vorinstanz den letzteren Preis auf Fr. 115.- geschätzt hat.</w:t>
      </w:r>
    </w:p>
    <w:p>
      <w:r>
        <w:rPr>
          <w:b/>
        </w:rPr>
        <w:t>E. 4.3.3</w:t>
      </w:r>
    </w:p>
    <w:p>
      <w:r>
        <w:t>Die Vorinstanz stützte sich bei der Ermittlung des Preises für die erotischen Dienstleistungen auf Berichte von Besuchern des Clubs der Beschwerdeführerin aus dem Internet, welche in ausgedruckter Form aktenkundig sind. Entgegen der Auffassung der Beschwerdeführerin lässt sich diesen Berichten nicht a priori der Beweiswert absprechen (vgl. auch Urteil des Bundesverwaltungsgerichts A-565/2014 vom 27. August 2014 E. 5.2.3, wo in einem ähnlich gelagerten Fall das Abstellen auf Kommentare von Erotikclubbesuchern auf einer Internetseite bei der ermessensweisen Bestimmung des Entgelts für erotische Dienstleistungen als rechtskonform qualifiziert worden ist). Obschon sich die Berichte teilweise auf das Jahr 2010 und die Nachfolgerin der Beschwerdeführerin namens G._______ GmbH beziehen, können sie für die vorliegende Ermessenseinschätzung herangezogen werden, da keine Anhaltspunkte für eine wesentliche Änderung der Verhältnisse ersichtlich sind. Den Berichten sind verschiedene Preise für erotische Dienstleistungen zu entnehmen, so Beträge von Fr. 120.- und Fr. 150.- jeweils für hinsichtlich der Dauer nicht näher spezifizierte Dienstleistungen oder für 30 Minuten erotische Dienstleistungen, Fr. 240.- für eine Stunde und Fr. 330.- für erotische Dienstleistungen unbestimmter Dauer mit zwei Frauen. Zwar dürften sich diese Angaben nicht auf das anlässlich eines Besuches insgesamt für erotische Dienstleistungen bezahlte Entgelt, sondern - wie teilweise ausdrücklich festgehalten ist - auf Stundenansätze oder auf einzelne der anlässlich eines Besuchs mitunter mehrfach beanspruchten Dienstleistungen beziehen (vgl. zur Unterscheidung zwischen Preisen nach Stundenansätzen und dem bei der vorliegenden Ermessenseinschätzung massgebenden Durchschnittsansatz pro Eintritt Urteil des Bundesverwaltungsgerichts A-6181/2012 vom 3. September 2013 E. 5.2.3.3). Indessen lässt sich aus den Berichten mit den erwähnten Angaben schliessen, dass deren Verfasser anlässlich eines Besuches jeweils mindestens eine erotische Dienstleistung zum Preis von mindestens Fr. 120.- in Anspruch genommen haben. Ins Bild, dass regelmässig mindestens Fr. 120.- pro Eintritt für erotische Dienstleistungen bezahlt wurden, passt (unter Berücksichtigung des Eintrittspreises) im Übrigen, dass nach einem der genannten Berichte einer der Kunden der Beschwerdeführerin bei einem einzigen Besuch insgesamt etwa Fr. 500.- ausgegeben hat. Der von der Vorinstanz angenommene Ansatz von Fr. 115.- ist mit Blick auf den Umstand, dass nach den erwähnten Berichten mitunter - wie ausgeführt - deutlich mehr pro Besuch bezahlt wurde, jedenfalls nicht als zu hoch zu beanstanden. Auch trägt dieser Ansatz dem Umstand hinreichend Rechnung, dass womöglich nicht sämtliche Besucher erotische Dienstleistungen konsumierten (vgl. dazu den aktenkundigen Bericht eines Besuchers, wonach bei ihm anlässlich eines Besuches des Clubs der Beschwerdeführerin im Oktober 2006 "einfach keine Stimmung [habe] aufkommen" wollen und er damals "unverrichteter Dinge nach Hause" gegangen sei [Akten Vorinstanz, act. 46/1, Internetausdruck vom 12. September 2013, S. 4 f.]). Im Übrigen ist darauf hinzuweisen, dass ein Ansatz von Fr. 115.- netto als Durchschnittswert pro Kunde rechtsprechungsgemäss "im unteren Rahmen" der Preise für erotische Dienstleistungen liegt, welche in ähnlich gelagerten, vom Gericht früher beurteilten Fällen als rechtmässig bestätigt worden sind (vgl. Urteil des Bundesverwaltungsgerichts A 1562/2006 vom 26. September 2008 E. 4.2.2.2).</w:t>
      </w:r>
    </w:p>
    <w:p>
      <w:r>
        <w:rPr>
          <w:b/>
        </w:rPr>
        <w:t>E. 4.4</w:t>
      </w:r>
    </w:p>
    <w:p>
      <w:r>
        <w:t>Nach dem Gesagten ist davon auszugehen, dass die ESTV ihr Ermessen pflichtgemäss ausgeübt hat. Der angefochtene Einspracheentscheid vom 2. Juni 2014 genügt insbesondere den Anforderungen an die Begründungspflicht (vgl. E. 1.5), hat die Vorinstanz doch namentlich dargetan, weshalb sie die seitens der Beschwerdeführerin im Einspracheverfahren geltend gemachten Vorbringen zur Höhe der Ermessenstaxation nicht für erheblich hält. Anders als nach der Darstellung in der Beschwerde lässt sich der ESTV nicht unterstellen, sie habe Standpunkte der Beschwerdeführerin - etwa zur Frage der Berücksichtigung von Besuchen ohne Inanspruchnahme erotischer Dienstleistungen (vgl. dazu E. 4.3.1 in fine) - ungeprüft übergangen.</w:t>
      </w:r>
    </w:p>
    <w:p>
      <w:r>
        <w:rPr>
          <w:b/>
        </w:rPr>
        <w:t>E. 4.5</w:t>
      </w:r>
    </w:p>
    <w:p>
      <w:r>
        <w:t>Unter den gegebenen Umständen obliegt es nun auf einer weiteren (dritten) Stufe der Beschwerdeführerin, nachzuweisen, in welchen Punkten die Schätzung der Vorinstanz offensichtlich unrichtig ist (E. 3.2).</w:t>
      </w:r>
    </w:p>
    <w:p>
      <w:r>
        <w:rPr>
          <w:b/>
        </w:rPr>
        <w:t>E. 4.5.1</w:t>
      </w:r>
    </w:p>
    <w:p>
      <w:r>
        <w:t>Die Beschwerdeführerin bringt vor, die Vorinstanz habe ohne Erhebung der nötigen Beweise willkürlich angenommen, im Club B._______ seien jeweils 11 bis 14 Damen sowie zwischen "28,09 bis 44,17" Männer anwesend gewesen, und die ESTV habe ihre "willkürliche Aufteilung des Bruttoertrages Eintritte auf die männlichen und weiblichen Besucher sowie die Paare" zu Unrecht nicht verifiziert (vgl. Beschwerde vom 1. Juli 2014, S. 21). Ferner rügt die Beschwerdeführerin, es sei der Umsatzaufrechnung zu Unrecht ohne jede Abklärung ein Ansatz von Fr. 115.- pro erotische Dienstleistung zugrunde gelegt und damit insbesondere den Männerbesuchen ohne Inanspruchnahme von Sexdienstleistungen zu wenig oder überhaupt nicht Rechnung getragen worden. Nach Auffassung der Beschwerdeführerin hat die Vorinstanz mit ihrer Vorgehensweise den Untersuchungsgrundsatz gemäss Art. 81 Abs. 2 MWSTG und den Anspruch auf rechtliches Gehör nach Art. 29 Abs. 2 BV verletzt.</w:t>
      </w:r>
    </w:p>
    <w:p>
      <w:r>
        <w:rPr>
          <w:b/>
        </w:rPr>
        <w:t>E. 4.5.2</w:t>
      </w:r>
    </w:p>
    <w:p>
      <w:r>
        <w:t>Es kann nicht die Rede davon sein, dass die Vorinstanz die Einnahmen aus Eintritten willkürlich auf die verschiedenen Besucherkategorien aufgeteilt hätte, hat sie sich doch diesbezüglich auf die eigenen Angaben der Beschwerdeführerin in deren Kassa-Berichten gestützt. Ebenso wenig lassen sich die von der Vorinstanz angenommenen Besucherzahlen als willkürlich qualifizieren. Denn zum einen hat sie sich in Bezug auf die Zahl der täglich anwesenden Damen auf die in den Tagesabrechnungen der Beschwerdeführerin ausgewiesenen Einnahmen aus Eintritten der Damen sowie den Eintrittspreis für eine Dame von Fr. 50.- gestützt und ist diese Zahl ohnehin nicht umsatzwirksam in die Ermessenseinschätzung eingeflossen. Zum anderen ging die Vorinstanz auch hinsichtlich der Zahl der Paareintritte und der Zahl der Herreneintritte von den Angaben in den Kassa-Berichten der Beschwerdeführerin aus. Schliesslich ist nach dem Dargelegten erstellt, dass die Zahl der durchschnittlich pro Tag anwesenden Männer und der Ansatz von Fr. 115.- pro erotische Dienstleistung von der Vorinstanz pflichtgemäss geschätzt wurden (vgl. zum Ganzen E. 4.2 ff.). Anhaltspunkte für die Annahme, dass die Vorinstanz willkürlich gehandelt hätte, bestehen nach dem Gesagten nicht.</w:t>
      </w:r>
    </w:p>
    <w:p>
      <w:r>
        <w:rPr>
          <w:b/>
        </w:rPr>
        <w:t>E. 4.5.3</w:t>
      </w:r>
    </w:p>
    <w:p>
      <w:r>
        <w:t>Zwar hat die Beschwerdeführerin hinsichtlich des Preises für die erotischen Dienstleistungen sowohl bei der Vorinstanz als auch im vorliegenden Verfahren die Befragung verschiedener Personen als Zeugen bzw. Auskunftspersonen und insbesondere die Befragung von Clubbesucherinnen sowie Clubbesuchern vor Ort beantragt. Es kann indessen davon ausgegangen werden, dass der rechtserhebliche Sachverhalt in Bezug auf die Höhe der vorinstanzlichen Ermessenseinschätzung hinreichend erstellt ist und keine weitere Beweise abgenommen werden müssen: Zum einen erscheint der zur Höhe der Ermessenseinschätzung gestellte Antrag auf Befragung von Besucherinnen und "Besuchern/Freiern" des Clubs der Beschwerdeführerin bzw. der Antrag auf Einholung einer Auskunft der "Sexdienstleisterinnen im Saunaclub B._______ über die Anzahl ihrer Dienstleistungen in der fraglichen Bemessungsperiode und über das dabei vereinnahmte Entgelt" mangels näherer Bezeichnung der betreffenden Zeugen bzw. Auskunftspersonen nicht als hinreichend substantiiert (vgl. Einsprache, S. 11 und S. 14 f.; Beschwerde vom 1. Juli 2014, S. 21 f.). Ein Augenschein im Club der Beschwerdeführerin - wie er sinngemäss beantragt worden ist - kann zum anderen einzig Aufschluss über die im Zeitpunkt der Durchführung gegebenen Verhältnisse geben, nicht aber über diejenigen Verhältnisse, wie sie im vorliegend massgeblichen Zeitraum vorgelegen haben (vgl. Urteil des Bundesverwaltungsgerichts A 1392/2006 vom 29. Oktober 2007 E. 2). Bei mindestens einem der im Übrigen von der Beschwerdeführerin namentlich genannten Zeugen bzw. Auskunftspersonen handelt es sich überdies um einen ihrer Angestellten. Angestellten der Beschwerdeführerin fehlt aber die notwendige Unabhängigkeit, weshalb deren Aussagen durch das Bundesverwaltungsgericht mit Zurückhaltung zu würdigen wären (vgl. Urteil des Bundesverwaltungsgerichts A 6181/2012 vom 3. September 2013 E. 3.2.3). Auf die Abnahme von Zeugenaussagen bzw. Aussagen von Auskunftspersonen sowie auf die Durchführung eines Augenscheins kann und konnte vorliegend auch deshalb (in antizipierter Beweiswürdigung [vgl. E. 1.4]) verzichtet werden, weil die in Frage stehenden Tatsachen - wie insbesondere der Preis pro erotische Dienstleistung - aus den Akten, namentlich den aktenkundigen Berichten der Clubbesucher, bereits genügend ersichtlich sind. Letzterer Schluss rechtfertigt sich umso mehr, als die Beschwerdeführerin im Zusammenhang mit ihren Beweisanträgen keine Umstände substantiiert geltend gemacht hat, welche die im Wesentlichen miteinander in Einklang stehenden Preisangaben in den erwähnten Berichten aus dem Internet (vgl. E. 4.3.3) in Frage stellen. Namentlich kann die Behauptung der Beschwerdeführerin, die in ihrem Club tätigen Prostituierten hätten für ihre Dienste lediglich ein Entgelt von Fr. 60.- bis höchstens Fr. 90.- erzielt, nicht als hinreichend substantiiert betrachtet werden, basiert doch diese Darstellung lediglich auf (angeblichen) "Rückfragen" bei einer nicht näher bestimmten Zahl namentlich nicht erwähnter Sexarbeiterinnen (vgl. Beschwerde vom 1. Juli 2014, S. 22). Selbst wenn heute vereinzelt durch Sexarbeiterinnen ein Preis von zwischen Fr. 60.- und Fr. 90.- bestätigt würde, was aus gerichtsnotorischer Sicht unwahrscheinlich ist, läge bei Berücksichtigung dieses Preises im Verhältnis mit jenen Preisen, die in den aktenkundigen Berichten der Clubbesucher genannt sind, der sich daraus ergebende Durchschnittspreis immer noch über den Fr. 115.-. Es ist im Übrigen ohnehin darauf hinzuweisen, dass das Bundesgericht im Zusammenhang mit einer Ermessenseinschätzung bei einem Unternehmensträger, der eine "Kontaktbar" mit einem Angebot an sexuellen Dienstleistungen betrieb, "wahrheitsgemässe" Aussagen von Sexarbeiterinnen, welche in der massgebenden Zeitspanne in der "Kontaktbar" tätig waren, zwar als "zuverlässiges Beweismittel" bezeichnete, eine Pflicht der ESTV, entsprechende Beweiserhebungen zu tätigen, jedoch gleichwohl verneinte (vgl. Urteil des Bundesgerichts 2C_1077/2012 und 2C_1078/2012 vom 24. Mai 2014 E. 3.7, auch zum Folgenden). Als ausschlaggebend für das Fehlen einer solchen Pflicht erachtete das höchste Gericht, dass die Ermessenseinschätzung im betreffenden Fall erforderlich worden war, weil die steuerpflichtige Person ihr zuzurechnende Umsätze in Missachtung ihrer Pflichten im Rahmen der Selbstveranlagung nicht verbucht hatte. Für entscheidend für den zulässigen Verzicht auf Beweiserhebungen hielt das Gericht ferner den Umstand, dass sich die betreffende Steuerpflichtige im weiteren Verfahren darauf beschränkt hatte, die Sachverhaltsannahmen, welche die ESTV bei ihrer zwar anfechtbaren, aber nicht unplausiblen Schätzung getroffen hatte, ohne Lieferung sachdienlicher Informationen zu kritisieren. Die vom Bundesgericht im Fall der "Kontaktbar" gegen eine behördliche Pflicht zu weiteren Beweiserhebungen ins Feld geführten Umstände sind mit den Gegebenheiten beim vorliegend zu beurteilenden Sachverhalt, bei welchem die Vorinstanz im Ergebnis eine betragsmässig klar im unteren Bereich liegende Ermessenseinschätzung vorgenommen hat (vgl. E. 4.3.3 in fine), vergleichbar. Nach dem Gesagten begründet das Vorgehen der Vorinstanz keine Verletzung des Untersuchungsgrundsatzes von Art. 81 Abs. 2 MWSTG und hat die ESTV das aus dem Anspruch auf rechtliches Gehör (Art. 29 Abs. 2 BV) fliessende Recht auf Abnahme erheblicher, rechtzeitig und formrichtig angebotener Beweise (s. BGE 140 I 99 E. 3.4; vgl. dazu auch Art. 81 Abs. 1 Satz 1 MWSTG in Verbindung mit Art. 33 Abs. 1 VwVG) nicht verletzt. Es bestand und besteht auch im vorliegenden Verfahren kein Anlass, die beantragten Befragungen von Zeugen bzw. Auskunftspersonen sowie den sinngemäss verlangten Augenschein im Club der Beschwerdeführerin durchzuführen.</w:t>
      </w:r>
    </w:p>
    <w:p>
      <w:r>
        <w:rPr>
          <w:b/>
        </w:rPr>
        <w:t>E. 4.6</w:t>
      </w:r>
    </w:p>
    <w:p>
      <w:r>
        <w:t>Nach dem vorstehend Erwogenen durfte die ESTV die hier interessierende Schätzung vornehmen (E. 2.3). Diese Ermessenstaxation erscheint sowohl in Bezug auf die steuerbegründenden als auch hinsichtlich der steuermindernden Tatsachen nicht als (bereits im Rahmen der durch das Gericht mit der gebotenen Zurückhaltung durchzuführenden Prüfung) pflichtwidrig (vgl. E. 4.1 ff.). Auch unter Berücksichtigung der Vorbringen der Beschwerdeführerin ist nicht erstellt, dass die angefochtene Ermessenseinschätzung unrichtig ist (vgl. insbesondere E. 4.5). Vor diesem Hintergrund unbegründet ist im Übrigen auch die von der Beschwerdeführerin namentlich mit ihrer Stellungnahme vom 7. Oktober 2014 erhobene Rüge, die Beweislastregel, wonach die Steuerbehörde für die steuerbegründenden und -erhöhenden Tatsachen beweisbelastet ist, während der steuerpflichtigen Person der Nachweis der steuermindernden oder -aufhebenden Tatsachen obliegt (vgl. dazu E. 1.3), sei verletzt worden (vgl. zur Umkehr der Beweislast E. 3.2 in fine).</w:t>
      </w:r>
    </w:p>
    <w:p>
      <w:r>
        <w:rPr>
          <w:b/>
        </w:rPr>
        <w:t>E. 5</w:t>
      </w:r>
    </w:p>
    <w:p>
      <w:r>
        <w:t>Nach dem Ausgeführten ist der angefochtene Einspracheentscheid vom 2. Juni 2014 rechtmässig und - auch hinsichtlich der damit verfügten Verweigerung einer Parteientschädigung (vgl. Ziff. III und Dispositiv-Ziff. 5 des Einspracheentscheids vom 2. Juni 2014 sowie Art. 84 Abs. 1 Satz 2 in Verbindung mit Art. 113 Abs. 3 MWSTG) - zu bestätigen. Die Beschwerde ist somit unbegründet und vollumfänglich abzuweisen. Es besteht insbesondere kein Anlass, entsprechend den (sinngemäss oder ausdrücklich gestellten) Eventualanträgen der Beschwerdeführerin statt vom geschätzten Ansatz für erotische Dienstleistungen von Fr. 115.- von einem solchen von Fr. 75.- auszugehen oder die Sache zur ergänzenden Abklärung sowie zur Neubeurteilung an die ESTV zurückzuweisen.</w:t>
      </w:r>
    </w:p>
    <w:p>
      <w:r>
        <w:rPr>
          <w:b/>
        </w:rPr>
        <w:t>E. 6.1</w:t>
      </w:r>
    </w:p>
    <w:p>
      <w:r>
        <w:t>Ausgangsgemäss sind die Verfahrenskosten, die auf Fr. 7'000.- festgesetzt werden, der Beschwerdeführerin aufzuerlegen (Art. 63 Abs. 1 VwVG in Verbindung mit Art. 4 des Reglements von 21. Februar 2008 über die Kosten und Entschädigungen vor dem Bundesverwaltungsgericht [VGKE; SR 173.320.2]). Der einbezahlte Kostenvorschuss ist zur Bezahlung der Verfahrenskosten zu verwenden.</w:t>
      </w:r>
    </w:p>
    <w:p>
      <w:r>
        <w:rPr>
          <w:b/>
        </w:rPr>
        <w:t>E. 6.2</w:t>
      </w:r>
    </w:p>
    <w:p>
      <w:r>
        <w:t>Parteientschädigungen für das vorliegende Beschwerdeverfahren sind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