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A-3678/2007 vom 18. August 2009</w:t>
      </w:r>
    </w:p>
    <w:p>
      <w:r>
        <w:t>Bundesverwaltungsgericht, 2009-08-18, DE</w:t>
      </w:r>
    </w:p>
    <w:p>
      <w:r>
        <w:rPr>
          <w:b/>
        </w:rPr>
        <w:t xml:space="preserve">Quelle: </w:t>
      </w:r>
      <w:r>
        <w:t>https://mcp.opencaselaw.ch/entscheid/bvger_A-3678_2007</w:t>
      </w:r>
    </w:p>
    <w:p>
      <w:r>
        <w:t>FR: TAF A-3678/2007 du 18 août 2009</w:t>
      </w:r>
    </w:p>
    <w:p>
      <w:r>
        <w:t>IT: TAF A-3678/2007 del 18 agosto 2009</w:t>
      </w:r>
    </w:p>
    <w:p>
      <w:pPr>
        <w:pStyle w:val="Heading2"/>
      </w:pPr>
      <w:r>
        <w:t>Regeste</w:t>
      </w:r>
    </w:p>
    <w:p>
      <w:r>
        <w:t>Mehrwertsteuer</w:t>
      </w:r>
    </w:p>
    <w:p>
      <w:pPr>
        <w:pStyle w:val="Heading2"/>
      </w:pPr>
      <w:r>
        <w:t>Erwägungen</w:t>
      </w:r>
    </w:p>
    <w:p>
      <w:r>
        <w:rPr>
          <w:b/>
        </w:rPr>
        <w:t>E. 1.1</w:t>
      </w:r>
    </w:p>
    <w:p>
      <w:r>
        <w:t>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sachlich wie funktionell zuständig. Auf die im Übrigen form- und fristgerecht eingereichten Beschwerden ist einzutreten.</w:t>
      </w:r>
    </w:p>
    <w:p>
      <w:r>
        <w:rPr>
          <w:b/>
        </w:rPr>
        <w:t>E. 1.2</w:t>
      </w:r>
    </w:p>
    <w:p>
      <w:r>
        <w:t>Grundsätzlich bildet jeder vorinstanzliche Entscheid ein selbständiges Anfechtungsobjekt und ist deshalb einzeln anzufechten. Eine Abweichung von diesem Grundsatz in Form der Anfechtung in einem gemeinsamen Verfahren mit einem einzigen Urteil rechtfertigt sich dann, wenn die einzelnen Sachverhalte in einem engen inhaltlichen Zusammenhang stehen und sich in allen Fällen gleiche oder ähnliche Rechtsfragen stellen. Unter den gleichen Voraussetzungen können auch getrennt eingereichte Beschwerden in einem Verfahren vereinigt werden (vgl. BGE 131 V 222 E. 1; Urteile des Bundesverwaltungsgerichts A-1612/2006 vom 9. Juli 2009 E. 1.2, A-7342/2008 und A-7426/2008 vom 5. März 2009 E. 1.3 mit Hinweisen). Ein solches Vorgehen dient der Verfahrensökonomie und liegt im Interesse aller Beteiligten (ANDRÉ MOSER/MICHAEL BEUSCH/LORENZ KNEUBÜHLER, Prozessieren vor dem Bundesverwaltungsgericht, Basel 2008, N. 3.17). Die Voraussetzungen für eine Verfahrensvereinigung sind vorliegend erfüllt, ist doch in beiden Fällen dasselbe Steuersubjekt betroffen, stehen die Sachverhalte in engem inhaltlichen Zusammenhang und stellen sich gleiche oder gleichartige Rechtsfragen. Die Verfahren A-3678/2007 und A-3680/2007 sind zu vereinigen.</w:t>
      </w:r>
    </w:p>
    <w:p>
      <w:r>
        <w:rPr>
          <w:b/>
        </w:rPr>
        <w:t>E. 1.3</w:t>
      </w:r>
    </w:p>
    <w:p>
      <w:r>
        <w:t>Am 1. Januar 2001 sind das Mehrwertsteuergesetz vom 2. September 1999 (MWSTG, SR 641.20) sowie die zugehörige Verordnung vom 29. März 2000 zum Bundesgesetz über die Mehrwertsteuer (MWSTGV, SR 641.201) in Kraft getreten. Der zu beurteilende Sachverhalt bezieht sich auf die Jahre 1999 bis 2004, so dass auf die vorliegende Beschwerde betreffend den Sachverhalt bis Ende 2000 noch das Recht der Verordnung vom 22. Juni 1994 über die Mehrwertsteuer (MWSTV, AS 1994 1464) und für die restliche Zeit neues Recht anwendbar ist (Art. 93 und 94 MWSTG).</w:t>
      </w:r>
    </w:p>
    <w:p>
      <w:r>
        <w:rPr>
          <w:b/>
        </w:rPr>
        <w:t>E. 2.1</w:t>
      </w:r>
    </w:p>
    <w:p>
      <w:r>
        <w:t>Die Veranlagung und Entrichtung der Mehrwertsteuer erfolgt nach dem Selbstveranlagungsprinzip (Art. 37 f. MWSTV, Art. 46 f.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(ALOIS CAMENZIND/NIKLAUS HONAUER/KLAUS A. VALLENDER, Handbuch zum neuen Mehrwertsteuergesetz [MWSTG], 2. 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vom 22. Juni 1994 über die Mehrwertsteuer [Kommentar EFD], S. 38). Ein Verstoss des Steuerpflichtigen gegen diesen Grundsatz ist als schwerwiegend anzusehen, da der Steuerpflichtige durch das Missachten dieser Vorschrift die ordnungsgemässe Erhebung der Mehrwertsteuer gefährdet (Urteile des Bundesverwaltungsgerichts A-4360/2007 vom 3. Juli 2009 E. 2.1, A-1634/2006 vom 31. März 2009 E. 3.4, A-1527/2006 vom 6. März 2008 E. 2.1, A-1406/2006 vom 30. Januar 2008 E. 2.1 mit weiteren Hinweisen).</w:t>
      </w:r>
    </w:p>
    <w:p>
      <w:r>
        <w:rPr>
          <w:b/>
        </w:rPr>
        <w:t>E. 2.2</w:t>
      </w:r>
    </w:p>
    <w:p>
      <w:r>
        <w:t>Gemäss Art. 47 Abs. 1 MWSTV bzw.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1997 für Mehrwertsteuerpflichtige" vom Frühling 1997 (Wegleitung 1997) und der "Wegleitung 2001 zur Mehrwertsteuer" vom Sommer 2000 (Wegleitung 2001), gültig ab 1. Januar 2001, Gebrauch gemacht. Darin sind genauere Angaben enthalten, wie eine Buchhaltung auszugestalten ist (Rz. 870 ff. Wegleitung 1997, Rz. 878 ff. Wegleitung 2001). Alle Geschäftsfälle müssen fortlaufend, chronologisch und lückenlos aufgezeichnet werden (Rz. 874 Wegleitung 1997, Rz. 884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Wegleitung 1997, Rz. 890 Wegleitung 2001).</w:t>
      </w:r>
    </w:p>
    <w:p>
      <w:r>
        <w:rPr>
          <w:b/>
        </w:rPr>
        <w:t>E. 2.3</w:t>
      </w:r>
    </w:p>
    <w:p>
      <w:r>
        <w:t>Liegen keine oder nur unvollständige Aufzeichnungen vor, oder stimmen die ausgewiesenen Ergebnisse mit dem wirklichen Sachverhalt offensichtlich nicht überein, so nimmt die ESTV nach Art. 48 MWSTV bzw. Art. 60 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logische Folge von Art. 50 MWSTV bzw. Art. 62 MWSTG, der die ESTV beauftragt, die Erfüllung der den Steuerpflichtigen obliegenden Pflichten zu überprüfen (Urteile des Bundesverwaltungsgerichts A-4360/2007 vom 3. Juli 2009 E. 2.3, A-1549/2006 vom 16. Mai 2008 E. 2.3; PASCAL MOLLARD, TVA et taxation par estimation, veröffentlicht in Archiv für Schweizerisches Abgaberecht [ASA] 69 S. 519).</w:t>
      </w:r>
    </w:p>
    <w:p>
      <w:r>
        <w:rPr>
          <w:b/>
        </w:rPr>
        <w:t>E. 3.1</w:t>
      </w:r>
    </w:p>
    <w:p>
      <w:r>
        <w:t>Zu unterscheiden sind zwei voneinander unabhängige Konstellationen, welche zu einer Ermessenseinschätzung gemäss Art. 48 MWSTV bzw. Art. 60 MWSTG führen. Erstens geht es um diejenige der ungenügenden Aufzeichnung, wobei eine Schätzung insbesondere dann erfolgen muss, wenn die Verstösse gegen die formellen Buchhaltungsregeln derart gravierend sind, dass sie die materielle Richtigkeit der Buchhaltungsergebnisse in Frage stellen (statt vieler: Urteil des Bundesgerichts 2A.437/2005 vom 3. Mai 2006 E. 3.1; Urteile des Bundesverwaltungsgerichts A-4360/2007 vom 3. Juli 2009 E. 3.1, A-1531/2006 vom 10. Januar 2008 E. 2.4).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(statt vieler: Urteile des Bundesverwaltungsgerichts A-1406/2006 vom 30. Januar 2008 E. 2.3, A-5712/2007 vom 17. Januar 2008 E. 2.6). Für das Vorliegen der Voraussetzungen zur Vornahme einer Ermessenseinschätzung ist nach den allgemeinen Regeln die ESTV beweisbelastet (Urteile des Bundesverwaltungsgerichts A-4360/2007 vom 3. Juli 2009 E. 3.1, A-1578/2006 vom 2. Oktober 2008 E. 5.3, A-1527/2006 vom 6. März 2008 E. 2.4, A-1531/2006 vom 10. Januar 2008 E. 2.4; BLUMENSTEIN/LOCHER, a.a.O., S. 454).</w:t>
      </w:r>
    </w:p>
    <w:p>
      <w:r>
        <w:rPr>
          <w:b/>
        </w:rPr>
        <w:t>E. 3.2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 Urteile des Bundesverwaltungsgerichts A-4360/2007 vom 3. Juli 2009 E. 3.2, A-1549/2006 vom 16. Mai 2008 E. 3.2).</w:t>
      </w:r>
    </w:p>
    <w:p>
      <w:r>
        <w:rPr>
          <w:b/>
        </w:rPr>
        <w:t>E. 4.1</w:t>
      </w:r>
    </w:p>
    <w:p>
      <w:r>
        <w:t>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A-4360/2007 vom 3. Juli 2009 E. 4.1, A-1523/2006 vom 10. Dezember 2008 E. 2.3.3, A-1526/2006 vom 28. Januar 2008 E. 3.3 und 3.4, A-1531/2006 vom 10. Januar 2008 E. 2.5.1 mit Hinweisen). Ein pflichtgemässes Ermessen schliesst ein, dass die ESTV in zumutbarem Rahmen Auskünfte, Nachweise und Belege bei Dritten einholt (METZGER, a.a.O., S. 190 Rz. 3). Im Weiteren ist dem Steuerpflichtigen Gelegenheit zur Stellungnahme zu geben und Akteneinsicht zu gewähren (vgl. Urteil des Bundesverwaltungsgerichts A-1549/2006 vom 16. Mai 2008 E. 4.1).</w:t>
      </w:r>
    </w:p>
    <w:p>
      <w:r>
        <w:rPr>
          <w:b/>
        </w:rPr>
        <w:t>E. 4.2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in: ASA 69 S. 526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Die brauchbaren Teile der Buchhaltung und allenfalls vorhandene Belege sind soweit als möglich bei der Schätzung mitzuberücksichtigen. Sie können durchaus als Basiswerte der Ermessenstaxation fungieren (Urteile des Bundesverwaltungsgerichts A-4360/2007 vom 3. Juli 2009 E. 4.2, A-1634/2006 vom 31. März 2009 E. 3.7, A-1578/2006 vom 2. Oktober 2008 E. 4.2, A-1549/2006 vom 16. Mai 2008 E. 4.2, A-1527/2006 vom 6. März 2008 E. 2.3).</w:t>
      </w:r>
    </w:p>
    <w:p>
      <w:r>
        <w:rPr>
          <w:b/>
        </w:rPr>
        <w:t>E. 5</w:t>
      </w:r>
    </w:p>
    <w:p>
      <w:r>
        <w:t>Ob die Voraussetzungen für die Vornahme einer Ermessensveranlagung gegeben sind, überprüft das Bundesverwaltungsgericht uneingeschränkt (Urteile des Bundesverwaltungsgerichts A-4360/2007 vom 3. Juli 2009 E. 5.1, A-1523/2006 vom 10. Dezember 2008 E. 2.2, A-1475/2006 vom 20. November 2008 E. 2.1, A-1406/2006 vom 30. Januar 2008 E. 1.3 mit weiteren Hinweisen). Das Bundesverwaltungsgericht auferlegt sich indessen bei der Überprüfung von zulässigerweise erfolgten Ermessensveranlagungen eine gewisse Zurückhaltung (Urteil des Bundesverwaltungsgerichts A-1596/2006 vom 2. April 2009 E. 2.5.3) und führt so die gefestigte diesbezügliche Rechtsprechung der SRK weiter, die höchstrichterlich bestätigt worden ist (vgl. Urteil des Bundesgerichts 2C_426/2007 vom 22. November 2007 E. 4.3).</w:t>
      </w:r>
    </w:p>
    <w:p>
      <w:r>
        <w:rPr>
          <w:b/>
        </w:rPr>
        <w:t>E. 6.1</w:t>
      </w:r>
    </w:p>
    <w:p>
      <w:r>
        <w:t>Im vorliegenden Fall schätzte die ESTV zunächst den unverbuchten Warenaufwand des Beschwerdeführers, indem sie seine verbuchten und die unverbuchten Warenbezüge von einigen ausgewählten Lieferanten im Jahr 2001 verglich, woraus sie unverbuchten im Verhältnis zum verbuchten Warenaufwand von 4,03% errechnete (vgl. amtl. Akten Nr. 2). Diesen Anteil von 4,03% unverbuchtem Warenaufwand legte sie auf die Jahre 1999 bis 2003 um. Im Weiteren ging sie bei der vorgenommenen kalkulatorischen Umsatzermittlung von einem Warenaufwand von 30% des Umsatzes aus. In den Einspracheentscheiden vom 26. April 2007 sah die ESTV jedoch von der dargelegten Umlage des unverbuchten Warenaufwandes ab und legte der kalkulatorischen Umsatzermittlung den tatsächlich bereinigten Warenaufwand zugrunde, d.h. dem verbuchten Warenaufwand wurden nur die in den jeweiligen Jahren tatsächlich festgestellten, unverbuchten Wareneinkäufe hinzugerechnet (wobei die ESTV in den Jahren 1999 und 2003 keinen unverbuchten Warenaufwand festgestellt hatte). Für die kalkulatorische Umsatzermittlung nahm sie wie bis anhin einen Warenaufwand von 30% an. Der Beschwerdeführer ist der Ansicht, sein Warenaufwand entspreche rund 31% des Umsatzes und hält den angenommenen Warenaufwand der ESTV von 30% für willkürlich und nicht den tatsächlichen Verhältnissen entsprechend. Er bemängelt aber nicht das Aufaddieren des festgestellten unverbuchten Warenaufwands für die Jahre 2000-2002 durch die ESTV.</w:t>
      </w:r>
    </w:p>
    <w:p>
      <w:r>
        <w:rPr>
          <w:b/>
        </w:rPr>
        <w:t>E. 6.2.1</w:t>
      </w:r>
    </w:p>
    <w:p>
      <w:r>
        <w:t>Offensichtlich kam die ESTV im Laufe des Einspracheverfahrens zum Schluss, dass bezüglich der Berechnung des Warenaufwands eine Schätzung angesichts der vorliegenden Geschäftsbücher nicht notwendig war. Sie hiess die Einsprachen deshalb in einem erheblichen Umfang gut und korrigierte den Warenaufwand bloss noch um die konkret festgestellten, unverbuchten Lieferantenrechnungen. Sie hielt indessen daran fest, den Umsatz kalkulatorisch aufgrund ihrer Erfahrungszahlen zu ermitteln, wobei sie davon ausging, dass der Warenaufwand 30% des Umsatzes entspricht. Die unvollständige Verbuchung von Rechnungen einzelner Lieferanten und damit von Aufwandpositionen stellt zwar einen Verstoss gegen die formellen Buchhaltungsregeln dar, er ist vorliegend aber nicht derart gravierend, dass die materielle Richtigkeit der Buchhaltungsergebnisse generell in Frage zu stellen wäre (E. 2.3, 3.1). Entgegen der Ansicht der ESTV lassen die unverbuchten Lieferantenrechnungen nicht zwingend auf höhere Umsätze schliessen. Ihrem pauschalen Einwand, es widerspreche der allgemeinen Lebenserfahrung, dass Aufwendungen nicht verbucht würden und die daraus resultierenden Umsätze hingegen schon (Vernehmlassung, Ziff. 2.1), kann in dieser Form nicht gefolgt werden. Im Übrigen bestreitet der Beschwerdeführer die Richtigkeit der Aufrechnungen des unverbuchten Warenaufwands nicht.</w:t>
      </w:r>
    </w:p>
    <w:p>
      <w:r>
        <w:rPr>
          <w:b/>
        </w:rPr>
        <w:t>E. 6.2.2</w:t>
      </w:r>
    </w:p>
    <w:p>
      <w:r>
        <w:t>Zur Prüfung, ob die ESTV zu Recht eine Ermessenseinschätzung des Umsatzes vorgenommen hat, bleibt die Frage zu beantworten, ob die ausgewiesenen Umsätze erheblich von den von der Steuerverwaltung erhobenen branchenspezifischen Erfahrungszahlen abweichen (E. 3.1). Die ESTV geht bei Restaurationsbetrieben wie dem vorliegenden mit hauptsächlich italienischer Küche davon aus, dass der Warenaufwand 30% des Umsatzes entspricht. Unter Berücksichtigung des nachträglich aufgerechneten unverbuchten Warenaufwands ergibt sich beim Beschwerdeführer im Jahr 2000 ein Warenaufwand von 31,81%, im Jahr 2001 ein solcher von 30,76%, im Jahr 2002 30,97% und im Jahr 2003 31,35%, im Durchschnitt der Jahre 2000 bis 2003 ein Warenaufwand von 31,22% des Umsatzes. Der tatsächlich ausgewiesene Warenaufwand des Beschwerdeführers von durchschnittlich 31,22% liegt nicht derart weit vom erhobenen Branchendurchschnitt von 30% der ESTV, dass eine Korrektur gerechtfertigt erscheint; er liegt vielmehr in einer den individuellen Verhältnissen durchaus gerecht werdenden Streubreite (E. 4.2). Die ESTV legt auch nicht dar, inwiefern ihr errechneter Erfahrungsdurchschnitt den tatsächlichen Verhältnissen des Beschwerdeführers besser entspreche. Damit bleibt für eine Umsatzschätzung aufgrund von Erfahrungszahlen kein Raum mehr.</w:t>
      </w:r>
    </w:p>
    <w:p>
      <w:r>
        <w:rPr>
          <w:b/>
        </w:rPr>
        <w:t>E. 6.2.3</w:t>
      </w:r>
    </w:p>
    <w:p>
      <w:r>
        <w:t>Die Voraussetzungen für eine Ermessenstaxation sind nicht erfüllt und die ESTV ist weder berechtigt noch verpflichtet, eine solche vorzunehmen (E. 3.2). Vielmehr ist grundsätzlich der verbuchte Umsatz des Beschwerdeführers (korrigiert durch die nicht im Streit liegenden Positionen wie Personalverpflegung und Naturalbezüge, vgl. Einspracheentscheid, Seite 6) massgebend. Die Beschwerde ist deshalb gutzuheissen und die Angelegenheit zur korrekten Berechnung der Mehrwertsteuern im Sinn der Erwägungen für die Zeit vom 1. Januar 1999 bis 30. September 2004 an die ESTV zurückzuweisen.</w:t>
      </w:r>
    </w:p>
    <w:p>
      <w:r>
        <w:rPr>
          <w:b/>
        </w:rPr>
        <w:t>E. 7</w:t>
      </w:r>
    </w:p>
    <w:p>
      <w:r>
        <w:t>Bei diesem Ausgang des Verfahrens hat der Beschwerdeführer nach Art. 63 Abs. 1 VwVG keine Verfahrenskosten zu tragen. Der geleistete Kostenvorschuss von Fr. 4'300.-- (für beide Verfahren) wird ihm zurückerstattet. Die Vorinstanz hat dem obsiegenden Beschwerdeführer eine Parteientschädigung auszurichten (Art. 64 Abs. 1 und 2 VwVG; Art. 7 ff. des Reglements vom 21. Februar 2008 über die Kosten und Entschädigungen vor dem Bundesverwaltungsgericht [VGKE, SR 173.320.2]). Die Parteientschädigung wird in Anwendung von Art. 7 Abs. 1 VGKE auf Fr. 3'000.--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