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A-365/2013 vom 15. Mai 2014</w:t>
      </w:r>
    </w:p>
    <w:p>
      <w:r>
        <w:t>Bundesverwaltungsgericht, 2014-05-15, FR</w:t>
      </w:r>
    </w:p>
    <w:p>
      <w:r>
        <w:rPr>
          <w:b/>
        </w:rPr>
        <w:t xml:space="preserve">Quelle: </w:t>
      </w:r>
      <w:r>
        <w:t>https://mcp.opencaselaw.ch/entscheid/bvger_A-365_2013</w:t>
      </w:r>
    </w:p>
    <w:p>
      <w:r>
        <w:t>FR: TAF A-365/2013 du 15 mai 2014</w:t>
      </w:r>
    </w:p>
    <w:p>
      <w:r>
        <w:t>IT: TAF A-365/2013 del 15 maggio 2014</w:t>
      </w:r>
    </w:p>
    <w:p>
      <w:pPr>
        <w:pStyle w:val="Heading2"/>
      </w:pPr>
      <w:r>
        <w:t>Regeste</w:t>
      </w:r>
    </w:p>
    <w:p>
      <w:r>
        <w:t>Aviation (divers)</w:t>
      </w:r>
    </w:p>
    <w:p>
      <w:pPr>
        <w:pStyle w:val="Heading2"/>
      </w:pPr>
      <w:r>
        <w:t>Erwägungen</w:t>
      </w:r>
    </w:p>
    <w:p>
      <w:r>
        <w:rPr>
          <w:b/>
        </w:rPr>
        <w:t>E. 6</w:t>
      </w:r>
    </w:p>
    <w:p>
      <w:r>
        <w:t>Dans la mesure où le recourant obtient gain de cause, il ne supportera pas les frais de procédure (cf. art. 63 al. 1 PA a contrario). Ceux-ci se montent à 1'500 francs - correspondant à l'avance de frais versée par le recourant - auxquels s'ajoute la somme de 860 francs accordée au témoin au titre d'indemnité ex art. 17 du règlement du 21 février 2008 concernant les frais, dépens et indemnités fixés par le Tribunal administratif fédéral (FITAF, RS 173.320.2). A teneur de l'art. 63 al. 2 PA, aucun frais de procédure ne peut être mis à charge de l'autorité de première instance. L'avance de frais d'un montant de 1'500 francs, versée par le recourant, lui sera restituée dès l'entrée en force du présent arrêt. S'agissant des dépens,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mandataire du recourant a produit deux notes d'honoraires, pour un montant total de 17'739,20 francs, TVA incluse. Un examen attentif de ces notes d'honoraires amène toutefois le Tribunal de céans à considérer ce qui suit dans le cadre de la fixation des dépens. Premièrement, dite note comprend également les interventions du mandataire au stade de la procédure de première instance, procédure qui ne donne précisément pas droit à des dépens (cf. art. 64 PA qui détermine que l'autorité de recours alloue des dépens, ce qu'il y a lieu de comprendre en lien précisément avec la procédure de recours et non devant une autre instance; cf. également Piermarco Zen-Ruffinen, Droit administratif, Partie générale et éléments de procédure, 2ème éd., 2013 Bâle et Neuchâtel, 154). Partant, toutes les interventions du mandataire précédant l'introduction de la présente procédure ne donneront pas lieu à des dépens. Les deux notes d'honoraires font également état de contacts avec une assurance de protection juridique, activité non directement nécessaire à la défense des intérêts du recourant dans la présente procédure. Ces activités ne sauraient donc donner lieu à l'allocation de dépens. Enfin, il est constaté que le total des honoraires produits par le mandataire du recourant comprend également des activités liées au recours interjeté devant le Tribunal fédéral contre le refus de restitution de l'effet suspensif. Dans ce cadre, il sied de rappeler que la Haute Cour a précisément rejeté ce recours dans la mesure où il était recevable. Il va de soi que l'indemnité de dépens à fixer dans le cadre de la présente procédure ne saurait dès lors tenir compte des activités liées à cette procédure devant le Tribunal fédéral. Les deux notes d'honoraires précitées ne contiennent en réalité aucune mention du temps consacré à des vacations effectivement nécessaires à la défense bien comprise des intérêts du recourant, de sorte qu'il n'est guère possible de déterminer précisément le nombre d'heures de travail dont il y a lieu de tenir compte, et encore moins de connaître le tarif horaire appliqué. Par conséquent, le Tribunal de céans fixera les dépens ex aequo et bono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