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A-3643/2016 vom 21. Juni 2016</w:t>
      </w:r>
    </w:p>
    <w:p>
      <w:r>
        <w:t>Bundesverwaltungsgericht, 2016-06-21, FR</w:t>
      </w:r>
    </w:p>
    <w:p>
      <w:r>
        <w:rPr>
          <w:b/>
        </w:rPr>
        <w:t xml:space="preserve">Quelle: </w:t>
      </w:r>
      <w:r>
        <w:t>https://mcp.opencaselaw.ch/entscheid/bvger_A-3643_2016</w:t>
      </w:r>
    </w:p>
    <w:p>
      <w:r>
        <w:t>FR: TAF A-3643/2016 du 21 juin 2016</w:t>
      </w:r>
    </w:p>
    <w:p>
      <w:r>
        <w:t>IT: TAF A-3643/2016 del 21 giugno 2016</w:t>
      </w:r>
    </w:p>
    <w:p>
      <w:pPr>
        <w:pStyle w:val="Heading2"/>
      </w:pPr>
      <w:r>
        <w:t>Regeste</w:t>
      </w:r>
    </w:p>
    <w:p>
      <w:r>
        <w:t>Taxe sur la valeur ajoutée</w:t>
      </w:r>
    </w:p>
    <w:p>
      <w:pPr>
        <w:pStyle w:val="Heading2"/>
      </w:pPr>
      <w:r>
        <w:t>Erwägungen</w:t>
      </w:r>
    </w:p>
    <w:p>
      <w:r>
        <w:rPr>
          <w:b/>
        </w:rPr>
        <w:t>E. 1</w:t>
      </w:r>
    </w:p>
    <w:p>
      <w:r>
        <w:t>que, selon l'art. 63 al. 1 de la loi fédérale du 20 décembre 1968 sur la procédure administrative (PA, RS 172.021), applicable en vertu du renvoi de l'art. 37 de la loi sur le Tribunal administratif fédéral du 17 juin 2005 (LTAF, RS 173.32), les frais de procédure comprenant l'émolument d'arrêté, les émoluments de chancellerie et les débours sont en règle générale mis, dans le dispositif, à la charge de la partie qui succombe, que, lorsqu'une affaire est renvoyée à l'autorité inférieure pour instruction complémentaire et nouvelle décision, la partie qui a formé recours est réputée avoir obtenu gain de cause (cf. ATF 132 V 215 consid. 6.2), que les frais de procédure ne peuvent être mis à la charge des autorités inférieures déboutées (art. 63 al. 2 PA), que selon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 que seules sont prises en considération les dépenses occasionnées par-devant le Tribunal administratif fédéral, à l'exclusion de celles encourues devant l'autorité inférieure (cf. André Moser/Michael Beusch/Lorenz Kneubühler, Prozessieren vor dem Bundesverwaltungsgericht, 2e éd., Bâle 2013, n. marg. 4.87),</w:t>
      </w:r>
    </w:p>
    <w:p>
      <w:r>
        <w:rPr>
          <w:b/>
        </w:rPr>
        <w:t>E. 2</w:t>
      </w:r>
    </w:p>
    <w:p>
      <w:r>
        <w:t>que, dans son arrêt A-6759 du 10 décembre 2014, le Tribunal administratif fédéral avait renoncé à prélever des frais de procédure et accordé de pleins dépens au groupe recourant, la décision attaquée ayant été entièrement annulée et le dossier renvoyé à l'autorité inférieure pour complément d'instruction et nouvelle décision (cf. consid. 1 ci-dessus), que le litige portait sur deux points, soit l'impôt sur les acquisitions d'un côté et le calcul de la déduction de l'impôt préalable de l'autre, que le Tribunal administratif fédéral avait admis le grief du groupe recourant en ce qui concerne l'impôt sur les acquisitions, que, par rapport au calcul de la déduction de l'impôt préalable, il avait considéré que le dossier devait être renvoyé à l'autorité inférieure pour complément d'instruction et nouvelle décision, que, même si le recours était admis relativement à l'impôt sur les acquisitions, le dossier était renvoyé à l'AFC dans sa globalité, le montant définitif de l'impôt à payer dépendant précisément des calculs qui restaient à effectuer au sujet de la déduction de l'impôt préalable, que le Tribunal fédéral a rejeté le point de vue du Tribunal administratif fédéral en ce qui concerne l'impôt sur les acquisitions, qu'il a en revanche confirmé que l'affaire devait être renvoyée à l'AFC pour complément d'instruction en ce qui concerne la déduction de l'impôt préalable, que, même si la question du paiement de l'impôt sur les acquisitions est maintenant tranchée de manière définitive, le Tribunal fédéral a, comme le Tribunal administratif fédéral, dû renvoyer le dossier dans son intégralité à l'autorité inférieure, le montant de l'impôt qui reste à payer dépendant des mesures d'instruction qui auront lieu au sujet du calcul de la déduction de l'impôt préalable, que, en définitive, il n'est pas possible à ce stade de dire dans quelle mesure le groupe recourant a obtenu gain de cause par rapport au montant d'impôt qui lui est réclamé par l'AFC, que, toutefois, en ce qui concerne la prise en compte de l'impôt sur les acquisitions dans le calcul du montant d'impôt dû, il n'y a plus de mesure d'instruction à effectuer, le dossier étant renvoyé à l'autorité inférieure sur ce point uniquement pour qu'elle en tienne compte dans le calcul final de l'impôt dû, que, à cet égard, le groupe recourant est donc réputé avoir succombé, que, en ce qui concerne la déduction de l'impôt préalable, la cause est renvoyée à l'autorité inférieure pour complément d'instruction, que, à cet égard, le groupe recourant est réputé avoir obtenu gain de cause (cf. ci-dessus consid. 1),</w:t>
      </w:r>
    </w:p>
    <w:p>
      <w:r>
        <w:rPr>
          <w:b/>
        </w:rPr>
        <w:t>E. 3</w:t>
      </w:r>
    </w:p>
    <w:p>
      <w:r>
        <w:t>que, comme dit (cf. consid. 2 ci-dessus), il n'est pas possible à ce stade de dire dans quelle mesure le groupe recourant a obtenu gain de cause par rapport au montant d'impôt qui lui est réclamé par l'AFC, que, en revanche, on peut partir de l'idée que la décision de l'AFC a été confirmée en ce qui concerne le montant de Fr. 823'255.-, qui doit entrer dans la base de calcul du montant d'impôt dû au titre des acquisitions de services du groupe recourant, que, à l'inverse, le montant de Fr. 715'372.- doit faire l'objet d'un réexamen, qu'on peut donc utiliser ces deux montants comme base de calcul pour la répartition des frais et l'allocation des dépens, que, dans une vision favorable au groupe recourant, ces deux montants sont relativement équivalents, qu'ils comptent donc chacun pour moitié dans la procédure, que le groupe recourant devra donc supporter la moitié des frais, correspondant à la part attribuée à la question de l'impôt sur les acquisitions, que, en revanche, la deuxième moitié des frais, qui correspond à la problématique de la déduction de l'impôt préalable, doit être laissée à la charge du Tribunal, qu'une avance de frais de Fr. 23'500.- avait été demandée au groupe recourant pour la procédure A-6759/2013 devant le Tribunal administratif fédéral, que ce montant peut être considéré comme le montant global des frais de cette procédure, que, comme indiqué, la moitié de ce montant doit être mise à la charge du groupe recourant, l'autre moitié étant laissée à la charge du Tribunal, que le groupe recourant devra donc supporter un montant de Fr. 11'750.- à titre de frais de procédure, que, par rapport aux dépens, un montant de Fr. 35'250.- avait été attribué au groupe recourant, que, en application des mêmes règles de proportion, ce montant sera réduit à Fr. 17'625.-, correspondant à la moitié du montant d'origine, que la présente procédure est effectuée sans frais, qu'il n'est pas non plus alloué de dépens pour celle-ci,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