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A-3628/2021 vom 13. Mai 2024</w:t>
      </w:r>
    </w:p>
    <w:p>
      <w:r>
        <w:t>Bundesverwaltungsgericht, 2024-05-13, DE</w:t>
      </w:r>
    </w:p>
    <w:p>
      <w:r>
        <w:rPr>
          <w:b/>
        </w:rPr>
        <w:t xml:space="preserve">Quelle: </w:t>
      </w:r>
      <w:r>
        <w:t>https://mcp.opencaselaw.ch/entscheid/bvger_A-3628_2021</w:t>
      </w:r>
    </w:p>
    <w:p>
      <w:r>
        <w:t>FR: TAF A-3628/2021 du 13 mai 2024</w:t>
      </w:r>
    </w:p>
    <w:p>
      <w:r>
        <w:t>IT: TAF A-3628/2021 del 13 maggio 2024</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ZG).</w:t>
      </w:r>
    </w:p>
    <w:p>
      <w:r>
        <w:rPr>
          <w:b/>
        </w:rPr>
        <w:t>E. 1.2</w:t>
      </w:r>
    </w:p>
    <w:p>
      <w:r>
        <w:t>Der Beschwerdeführer hat am vorinstanzlichen Verfahren teilgenommen, ist durch den angefochtenen Entscheid besonders berührt und hat ein schutzwürdiges Interesse an dessen Aufhebung. Damit ist er zur Beschwerdeerhebung legitimiert (vgl. Art. 48 Abs. 1 VwVG).</w:t>
      </w:r>
    </w:p>
    <w:p>
      <w:r>
        <w:rPr>
          <w:b/>
        </w:rPr>
        <w:t>E. 1.3.1</w:t>
      </w:r>
    </w:p>
    <w:p>
      <w:r>
        <w:t>Die Beschwerdeschrift hat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w:t>
      </w:r>
    </w:p>
    <w:p>
      <w:r>
        <w:rPr>
          <w:b/>
        </w:rPr>
        <w:t>E. 1.3.2</w:t>
      </w:r>
    </w:p>
    <w:p>
      <w:r>
        <w:t>Die am 24. September 2021 vom nicht anwaltlich vertretenen Beschwerdeführer eingereichte Beschwerdeverbesserung ist nicht unterschrieben. Auch die (undatierte) Eingabe des Beschwerdeführers, welche am 15. September 2021 beim Bundesverwaltungsgericht eingegangen ist, enthält keine Unterschrift. Die Beschwerde vom 11. August 2021 enthält eine Unterschrift des früheren Rechtsvertreters des Beschwerdeführers, dieser ist und war jedoch nicht für die Interessenwahrung im Beschwerdeverfahren vor dem Bundesverwaltungsgericht bevollmächtigt. Dieser Mangel führt jedoch vorliegend nicht zu einem Nichteintretensentscheid: Aufgrund des Briefumschlags zur Beschwerdeverbesserung vom 24. September 2021 kann die Eingabe eindeutig dem Beschwerdeführer zugeordnet werden. Zudem hat dieser am 20. Oktober 2021 telefonisch mit dem Bundesverwaltungsgericht Kontakt aufgenommen und um Erstreckung der Frist zur Bezahlung des Kostenvorschusses gebeten. Das daraufhin von ihm eingereichte Schreiben vom 21. Oktober 2021 enthält eine Originalunterschrift. Die Eingabe des Beschwerdeführers ist unter diesen Umständen zulässig (vgl. Urteil des BVGer C-2054/2012 vom 9. Oktober 2014 E. 1.4.3; André Moser et al., Prozessieren vor dem Bundesverwaltungsgericht, 2. Aufl. 2022, Rz. 2.228).</w:t>
      </w:r>
    </w:p>
    <w:p>
      <w:r>
        <w:rPr>
          <w:b/>
        </w:rPr>
        <w:t>E. 1.3.3</w:t>
      </w:r>
    </w:p>
    <w:p>
      <w:r>
        <w:t>Auf die im Übrigen form- und fristgerecht eingereichte Beschwerde ist demnach einzutreten.</w:t>
      </w:r>
    </w:p>
    <w:p>
      <w:r>
        <w:rPr>
          <w:b/>
        </w:rPr>
        <w:t>E. 1.4</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1.5</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Sachverhalts sowie die Unangemessenheit rügen (vgl. Art. 49 VwVG).</w:t>
      </w:r>
    </w:p>
    <w:p>
      <w:r>
        <w:rPr>
          <w:b/>
        </w:rPr>
        <w:t>E. 1.6</w:t>
      </w:r>
    </w:p>
    <w:p>
      <w:r>
        <w:t>Gemäss dem Vorbehalt von Art. 2 Abs. 1 VwVG finden die Art. 12-19 und 30-33 VwVG auf das Steuerverfahren keine Anwendung. Das Bundesverwaltungsgericht wendet in ständiger Rechtsprechung die in Art. 12 VwVG verankerte Untersuchungsmaxime, wonach die entscheidende Behörde den rechtlich relevanten Sachverhalt von sich aus abklären und darüber ordnungsgemäss Beweis führen muss, dennoch auch in Steuerverfahren an, soweit diese nicht durch Mitwirkungspflichten der Verfahrensbeteiligten eingeschränkt ist (statt vieler: BVGE 2009/60 E. 2.1.2; Urteile des BVGer A-1669/2021 vom 8. Februar 2023 E. 1.5; A-2479/2019 vom 14. Juli 2021 E. 2.2.1). Es nimmt jedoch nicht von sich aus zusätzliche Sachverhaltsabklärungen vor oder untersucht weitere Rechtsstandpunkte, für die sich aus den vorgebrachten Rügen oder den Akten nicht zumindest Anhaltspunkte ergeben (BVGE 2010/64 E. 1.4.1; statt vieler: Urteile des BVGer A-1669/2021 vom 8. Februar 2023 E. 1.5; A-4963/2020 vom 15. Dezember 2021 E. 1.6.1).</w:t>
      </w:r>
    </w:p>
    <w:p>
      <w:r>
        <w:rPr>
          <w:b/>
        </w:rPr>
        <w:t>E. 2.1</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 wie das hier interessierende Verfahren der vorübergehenden Verwendung.</w:t>
      </w:r>
    </w:p>
    <w:p>
      <w:r>
        <w:rPr>
          <w:b/>
        </w:rPr>
        <w:t>E. 2.2</w:t>
      </w:r>
    </w:p>
    <w:p>
      <w:r>
        <w:t>Die Zollzahlungspflicht obliegt der Zollschuldnerin bzw. dem Zollschuldner (Art. 70 Abs. 1 ZG). Zum entsprechenden Kreis gehört jene Person, welche die Waren über die Zollgrenze bringt oder bringen lässt sowie die Person, die zur Zollanmeldung verpflichtet bzw. damit beauftragt ist oder auf deren Rechnung die Ware ein- oder ausgeführt wird (Art. 70 Abs. 2 ZG). Zur Zollanmeldung verpflichtet sind gemäss Art. 26 ZG die zuführungspflichtige Person (Bst. a), die mit der Zollanmeldung beauftragte Person (Bst. b) und Personen, die den Verwendungszweck der Ware ändern (Bst. d). Zuführungspflichtig ist, wer Waren ins Zollgebiet verbringt, verbringen lässt oder sie danach übernimmt (Art. 21 Abs. 1 ZG). Art. 75 der Zollverordnung vom 1. November 2006 (ZV, SR 631.01) präzisiert, dass als zuführungspflichtige Personen namentlich (also nicht ausschliesslich)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Sodann umfasst die Zollzahlungspflicht die Pflicht zur Entrichtung der Abgaben und Kosten, die gestützt auf andere als zollrechtliche Erlasse (also beispielsweise auf die Mehrwert- oder Automobilsteuergesetzgebung) durch das BAZG zu erheben sind (Art. 90 ZG; vgl. Urteile des BVGer A-5407/2020, A-5409/2020, A-5410/2020 vom 28. September 2021 E. 2.2 [bestätigt durch Urteil des BGer 2C_880/2021 vom 22. September 2022]; A-4510/2018 vom 20. Mai 2019 E. 2.2; A-3322/2018 vom 11. Dezember 2018 E. 3.2).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E. 2.4])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S. 579; vgl. zum Ganzen: Urteil des BVGer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des BAZG vom 4. April 2007 [ZV-BAZG,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2.4). Anmeldepflichtig ist u.a. die zuführungspflichtige Person (Art. 26 Bst. a ZG), wobei als solche u.a. der oder die Empfänger/in gilt (Art. 75 Bst. d ZV; vgl. E. 2.2). Die Zuführungspflicht besteht unabhängig von der privatrechtlichen oder wirtschaftlichen Berechtigung an der Ware (vgl. Urteil des BVGer A-4411/2021 vom 28. September 2022 E. 2.2 [bestätigt durch Urteil des BGer 9C_717/2022 vom 15. Dezember 2023]; Barbara Henzen, in: Kocher/Clavadetscher [Hrsg.], Handkommentar zum Zollgesetz, 2009 [nachfolgend: Zollkommentar], Art. 21 N. 6).</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Zollkommentar, Art. 18 N. 3 f.; Botschaft ZG, BBl 2004 567, S. 601). Die Zollpflichtigen haben sich vorweg über die Zollpflicht sowie die jeweiligen Abfertigungsverfahren zu informieren und die Waren entsprechend zur Veranlagung anzumelden. Unterlassen sie dies, haben sie dafür prinzipiell selber die Verantwortung zu tragen (BVGE 2015/35 E. 3.3.3; Urteil des BVGer A-4408/2021 vom 6. Juli 2022 E. 2.2). Die Mitwirkungs- und Sorgfaltspflichten des Zollverfahrens gelten auch für die Erhebung der Automobilsteuer (Art. 7 AStG) und der Einfuhrmehrwertsteuer (vgl. Art. 50 MWSTG; Urteile des BVGer A-4408/2021 vom 6. Juli 2022 E. 2.2; A-3322/2018 vom 11. Dezember 2018 E. 3.4).</w:t>
      </w:r>
    </w:p>
    <w:p>
      <w:r>
        <w:rPr>
          <w:b/>
        </w:rPr>
        <w:t>E. 2.4</w:t>
      </w:r>
    </w:p>
    <w:p>
      <w:r>
        <w:t>Da Waren, die nur vorübergehend in ein Zollgebiet verbracht und dort genutzt werden, nicht endgültig in den wirtschaftlichen Kreislauf eines Zollgebietes eingehen, können sie anders - beispielsweise mit Zollerleichterungen - behandelt werden als Waren, die uneingeschränkt am Binnenmarkt teilnehmen (vgl. Heinz Schreier, Zollkommentar, Art. 9 N. 1). Zu diesem Zweck ist u.a. das Verfahren der vorübergehenden Verwendung vorgesehen (vgl. Urteile des BVGer A-3078/2021 vom 7. Juli 2023 E. 3.4; A-3783/2021 vom 17. Mai 2023 E. 3.2.1; A-4510/2018 vom 20. Mai 2019 E. 3).</w:t>
      </w:r>
    </w:p>
    <w:p>
      <w:r>
        <w:rPr>
          <w:b/>
        </w:rPr>
        <w:t>E. 2.4.1</w:t>
      </w:r>
    </w:p>
    <w:p>
      <w:r>
        <w:t>Entsprechende Zollerleichterungen sind im hier interessierenden Zusammenhang im Übereinkommen über die vorübergehende Verwendung vom 26. Juni 1990 (SR 0.631.24, nachfolgend: Istanbul Übereinkommen) vorgesehen. Gemäss Art. 1 Bst. a und Art. 2 des Istanbul Übereinkommens dürfen bestimmte Waren frei von Eingangsabgaben für einen bestimmten Zweck vorübergehend in ein Zollgebiet verbracht werden. Das Übereinkommen erfasst auch Transportmittel (vgl. «Anlage über Beförderungsmittel» [Anlage C zum Istanbul Übereinkommen]). Nach Art. 2 Bst. a der Anlage C zum Istanbul Übereinkommen sind Beförderungsmittel (wie beispielsweise Strassenkraftfahrzeuge, vgl. Art. 1 Bst. a der Anlage C zum Istanbul Übereinkommen) zur gewerblichen Verwendung oder zum eigenen Gebrauch zur vorübergehenden Verwendung zugelassen. Zu den Eingangsabgaben zählen auch die auf den Einfuhren lastenden Steuern wie die Mehrwert- und Automobilsteuer (vgl. Art. 1 Bst. b des Istanbul Übereinkommens, vgl. Urteile des BGer 2C_1049/2011 vom 18. Juli 2012 E. 3.2; 2A.230/2006 vom 9. Oktober 2006 E. 4.1; 2A.514/2001 vom 29. Juli 2002 E. 2.1; Urteil des BVGer A-3505/2014 vom 8. April 2015 E. 2.2.1). Die Bestimmungen dieses Übereinkommens sind grundsätzlich direkt anwendbar und die Betroffenen können sich unmittelbar darauf berufen (vgl. Urteile des BVGer A-3078/2021 vom 7. Juli 2023 E. 3.4.1; A-3783/2021 vom 17. Mai 2023 E. 3.2.3; A-4510/2018 vom 20. Mai 2019 E. 3.1.1).</w:t>
      </w:r>
    </w:p>
    <w:p>
      <w:r>
        <w:rPr>
          <w:b/>
        </w:rPr>
        <w:t>E. 2.4.2</w:t>
      </w:r>
    </w:p>
    <w:p>
      <w:r>
        <w:t>Für die Zulassung zur vorübergehenden Verwendung eines Beförderungsmittels zum eigenen Gebrauch ist nach Art. 5 Bst. b der Anlage C zum Istanbul Übereinkommen erforderlich, dass (1) das Beförderungsmittel in einem anderen als dem Gebiet der vorübergehenden Verwendung zugelassen ist und (2) auf den Namen einer Person zum Verkehr zugelassen ist, die ihren Sitz oder Wohnsitz ausserhalb des Gebietes der vorübergehenden Verwendung hat. Zudem (3) muss das Beförderungsmittel von Personen mit Wohnsitz in diesem Gebiet eingeführt und verwendet werden. Dies bedeutet, dass die Personen, die das Beförderungsmittel einführen und verwenden, ihren Wohnsitz ausserhalb des schweizerischen Zollgebiets haben müssen (vgl. Urteil des BVGer A-4510/2018 vom 20. Mai 2019 E. 5.2.1). Für Personen mit Wohnsitz im Zollgebiet (hier: der Schweiz), die ein im Ausland immatrikuliertes Fahrzeug zum eigenen Gebrauch im Zollgebiet benutzen, sieht das Istanbul Übereinkommen keine Zollerleichterung vor (Urteile des BVGer A-3078/2021 vom 7. Juli 2023 E. 3.4.3; A-3783/2021 vom 17. Mai 2023 E. 3.2.4; A-957/2019 vom 9. Dezember 2019 E. 2.8.2 [bestätigt durch Urteil des BGer 2C_97/2020 vom 18. Mai 2020]).</w:t>
      </w:r>
    </w:p>
    <w:p>
      <w:r>
        <w:rPr>
          <w:b/>
        </w:rPr>
        <w:t>E. 2.5.1</w:t>
      </w:r>
    </w:p>
    <w:p>
      <w:r>
        <w:t>Die Möglichkeit der vorübergehenden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übertragen (Abs. 2).</w:t>
      </w:r>
    </w:p>
    <w:p>
      <w:r>
        <w:rPr>
          <w:b/>
        </w:rPr>
        <w:t>E. 2.5.2</w:t>
      </w:r>
    </w:p>
    <w:p>
      <w:r>
        <w:t>Waren, die in ein Zollverfahren (wie jenes der vorübergehenden Verwendung) überführt werden sollen, sind entsprechend anzumelden (Art. 47 Abs. 1 und 2 Bst. d ZG). Gemäss Art. 58 Abs. 1 ZG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Urteile des BVGer A-4077/2021 vom 11. Mai 2022 E. 2.3.3; A-4510/2018 vom 20. Mai 2019 E. 3.2.3).</w:t>
      </w:r>
    </w:p>
    <w:p>
      <w:r>
        <w:rPr>
          <w:b/>
        </w:rPr>
        <w:t>E. 2.5.3</w:t>
      </w:r>
    </w:p>
    <w:p>
      <w:r>
        <w:t>Gemäss Art. 35 Abs. 2 ZV kann das BAZG Personen mit Wohnsitz im Zollgebiet die vorübergehende Verwendung eines ausländischen Beförderungsmittels für den eigenen Gebrauch bewilligen, wenn: (a)diese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(b)diese innerhalb eines Jahres höchstens 12 grenzüberschreitende Beförderungen durchführen und die Wiederausfuhr jeweils nach drei Tagen erfolgt; (c)diese ihren Wohnsitz an einen Ort ausserhalb des Zollgebiets verlegen und die vorübergehende Verwendung höchstens drei Monate dauert; oder (d)keine entsprechenden inländischen Beförderungsmittel zur Verfügung stehen und die ausländischen Beförderungsmittel nur für eine kurze Dauer benützt werden sollen.</w:t>
      </w:r>
    </w:p>
    <w:p>
      <w:r>
        <w:rPr>
          <w:b/>
        </w:rPr>
        <w:t>E. 2.5.4</w:t>
      </w:r>
    </w:p>
    <w:p>
      <w:r>
        <w:t>Der Ablauf des Verfahrens der vorübergehenden Verwendung wird in den Art. 162 - 164 ZV geregelt. Gemäss Art. 162 Abs. 1 ZV muss die anmeldepflichtige Person den Verwendungszweck der Ware bei der Zollanmeldung angeben. Eine Bewilligung zur vorübergehenden Verwendung eines ausländischen Beförderungsmittels zum eigenen Gebrauch im Zollgebiet nach Art. 35 ZV muss bei der ersten Einfuhr oder beim Erwerb im Inland beim BAZG beantragt werden (Art. 164 Abs. 2 ZV). Soweit hier interessierend, werden diese Bestimmungen gemäss Rechtsprechung als gesetzes- bzw. völkerrechtskonform erachtet (vgl. Urteile des BVGer A-3783/2021 vom 17. Mai 2023 E. 3.2.7; A-4510/2018 vom 20. Mai 2019 E. 3.2.4; A-5962/2014 vom 14. Januar 2016 E. 5.6, je m.w.H.). Insoweit bleibt kein Raum für eine nachträgliche Bewilligung (Urteil des BVGer A-5078/2012 vom 15. Januar 2014 E. 6.2).</w:t>
      </w:r>
    </w:p>
    <w:p>
      <w:r>
        <w:rPr>
          <w:b/>
        </w:rPr>
        <w:t>E. 2.6.1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2.6.2</w:t>
      </w:r>
    </w:p>
    <w:p>
      <w:r>
        <w:t>Nach Art. 96 Abs. 4 MWSTG begeht eine Steuerhinterziehung (der Mehrwertsteuer),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2.6.3</w:t>
      </w:r>
    </w:p>
    <w:p>
      <w:r>
        <w:t>Laut Art. 36 Abs. 1 AStG ist unter Strafandrohung u.a. untersagt, die Automobilsteuer vorsätzlich oder fahrlässig durch Nichtanmeldung, Verheimlichung, unrichtige Deklaration der Automobile ganz oder teilweise zu hinterziehen oder zu gefährden.</w:t>
      </w:r>
    </w:p>
    <w:p>
      <w:r>
        <w:rPr>
          <w:b/>
        </w:rPr>
        <w:t>E. 2.7</w:t>
      </w:r>
    </w:p>
    <w:p>
      <w:r>
        <w:t>Sowohl die Zoll- als auch die Mehrwertsteuer- sowie die Automobilsteuergesetzgebung gehören zur Verwaltungsgesetzgebung des Bundes. Entsprechend findet bei Widerhandlungen in den jeweiligen Bereichen (zumindest teilweise) das VStrR Anwendung (vgl. Art. 128 Abs. 1 ZG; Art. 103 Abs. 1 MWSTG und Art. 36 Abs. 1 AStG; zum Ganzen: Urteile des BVGer A-3783/2021 vom 17. Mai 2023 E. 3.5.1; A-4510/2018 vom 20. Mai 2019 E. 4.4).</w:t>
      </w:r>
    </w:p>
    <w:p>
      <w:r>
        <w:rPr>
          <w:b/>
        </w:rPr>
        <w:t>E. 2.7.1</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A-1669/2021 vom 8. Februar 2023 E. 3.2; A-4963/2020 vom 15. Dezember 2021 E. 4.2).</w:t>
      </w:r>
    </w:p>
    <w:p>
      <w:r>
        <w:rPr>
          <w:b/>
        </w:rPr>
        <w:t>E. 2.7.2</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2.2). Sie gelten ipso facto als durch die Nichtbezahlung der Abgabe bevorteilt (vgl. Urteil des BGer 2C_420/2013 vom 4. Juli 2014 E. 3.3 m.w.H.; Urteile des BVGer A-1669/2021 vom 8. Februar 2023 E. 3.3; A-3365/2020 vom 19. März 2021 E. 4.2 [bestätigt durch Urteil des BGer 2C_372/2021 vom 23. Dezember 2021]).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A.242/2006 vom 2. Februar 2007 E. 2.2; zum Ganzen: Urteil des BVGer A-4077/2021 vom 11. Mai 2022 E. 2.8.3 m.w.H.). Der ganze geschuldete Steuerbetrag kann von jedem beliebigen Solidarverpflichteten eingefordert werden (BGE 107 Ib 205 E. 2a; Urteil des BVGer A-4217/2021 vom 1. März 2023 E. 6.3.2). Die solidarische Haftung dient der bestmöglichen Sicherstellung der Einbringlichkeit der Zollabgaben (Beusch, Zollkommentar, Art. 70 N. 9). Wie die Zollschuld intern unter den verschiedenen Zollschuldnern zu verteilen ist, regelt das ZG nicht, sondern verweist dafür in Art. 70 Abs. 3 Satz 2 ZG auf die Regressregeln des Obligationenrechts (vgl. Urteil des BVGer A-4564/2021 vom 1. Juni 2023 E. 3.3).</w:t>
      </w:r>
    </w:p>
    <w:p>
      <w:r>
        <w:rPr>
          <w:b/>
        </w:rPr>
        <w:t>E. 2.8.1</w:t>
      </w:r>
    </w:p>
    <w:p>
      <w:r>
        <w:t>Das Gebot der Verhältnismässigkeit (Art. 5 Abs. 2 der Bundesverfassung der Schweizerischen Eidgenossenschaft vom 18. April 1999 [BV, SR 101]; vgl. auch Art. 36 Abs. 3 BV) verlangt, dass die vom Gesetzgeber oder von der Behörde gewählten Massnahmen für das Erreichen des gesetzten Zieles geeignet, notwendig und für die betroffene Person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m.w.H.). Die Frage der Verhältnismässigkeit stellt sich folglich nur in Fällen, bei denen mehrere Massnahmen zum Erreichen eines Ziels zur Verfügung stehen (vgl. Urteil des BGer 2A.65/2003 vom 29. Juli 2003 E. 4; Urteil des BVGer A-1399/2020 vom 17. November 2022 E. 3 m.w.H.).</w:t>
      </w:r>
    </w:p>
    <w:p>
      <w:r>
        <w:rPr>
          <w:b/>
        </w:rPr>
        <w:t>E. 2.8.2</w:t>
      </w:r>
    </w:p>
    <w:p>
      <w:r>
        <w:t>Gemäss Art. 190 BV sind Bundesgesetze und Völkerrecht für die rechtsanwendenden Behörden massgebend (sog. Anwendungsgebot; vgl. dazu statt vieler: BGE 131 II 217 E. 2.3; Urteil des BVGer A-790/2016 vom 29. Juni 2016 E. 1.5). Art. 190 BV verbietet es den rechtsanwendenden Behörden, einer Norm in einem Bundesgesetz wegen Verfassungswidrigkeit die Anwendung zu versagen (vgl. Ulrich Häfelin et al., Schweizerisches Bundesstaatsrecht, 10. Aufl. 2020, Rz. 2089 f.) bzw. von einer klar formulierten Vorschrift des Bundesgesetzgebers, deren Wortlaut auch dem Sinn und Zweck der Regelung entspricht, abzuweichen (vgl. Urteil des BGer 2C_703/2009 und 2C_22/2010 vom 21. September 2010 E. 4.4.2; Urteile des BVGer A-4682/2018 vom 16. August 2019 E. 5.2.3; A-7025/2016 vom 5. Juli 2017 E. 1.2.4).</w:t>
      </w:r>
    </w:p>
    <w:p>
      <w:r>
        <w:rPr>
          <w:b/>
        </w:rPr>
        <w:t>E. 2.8.3</w:t>
      </w:r>
    </w:p>
    <w:p>
      <w:r>
        <w:t>Aufgrund des Anwendungsgebots von Art. 190 BV verbleibt namentlich für Verhältnismässigkeitsüberlegungen praxisgemäss immer dann kein Raum, wenn eine Norm zwar als streng erscheinen mag, aber vom Bundesgesetzgeber so gewollt ist und innerhalb des diesem eröffneten Regelungsermessens liegt (Urteil des BGer 2C_703/2009 und 2C_22/2010 vom 21. September 2010 E. 4.4.2; Urteile des BVGer A-4682/2018 vom 16. August 2019 E. 5.2.4; A-7025/2016 vom 5. Juli 2017 E. 1.2.4; A-5078/2012 vom 15. Januar 2014 E. 10.5.1.1).</w:t>
      </w:r>
    </w:p>
    <w:p>
      <w:r>
        <w:rPr>
          <w:b/>
        </w:rPr>
        <w:t>E. 3</w:t>
      </w:r>
    </w:p>
    <w:p>
      <w:r>
        <w:t>Im vorliegenden Fall ist streitig, ob die Vorinstanz zu Recht Einfuhrabgaben in Höhe von Fr. 21'841.90 wegen Verwendung eines unverzollten und un-versteuerten Fahrzeugs beim Beschwerdeführer nachgefordert hat.</w:t>
      </w:r>
    </w:p>
    <w:p>
      <w:r>
        <w:rPr>
          <w:b/>
        </w:rPr>
        <w:t>E. 3.1</w:t>
      </w:r>
    </w:p>
    <w:p>
      <w:r>
        <w:t>Der Sachverhalt ist vorliegend nicht umstritten und wurde an der Einvernahme vom 13. Juli 2021 vom Beschwerdeführer bestätigt: Das streitbetroffene Fahrzeug ist in den Niederladen immatrikuliert und wurde vom Bruder des Beschwerdeführers ohne Zollanmeldung in das schweizerische Zollgebiet eingeführt. Am 19. Februar 2019 hat der Beschwerdeführer das streitbetroffene Fahrzeug für eine kurze Zeit in der Schweiz verwendet. Der Beschwerdeführer hatte zu diesem Zeitpunkt seinen Wohnsitz in der Schweiz.</w:t>
      </w:r>
    </w:p>
    <w:p>
      <w:r>
        <w:rPr>
          <w:b/>
        </w:rPr>
        <w:t>E. 3.2</w:t>
      </w:r>
    </w:p>
    <w:p>
      <w:r>
        <w:t>Als Ware, die ins Zollgebiet verbracht wurde, ist das Fahrzeug grundsätzlich zollpflichtig. Es unterliegt auch der Einfuhrmehrwertsteuer und der Automobilsteuer (vgl. E. 2.1). Der Beschwerdeführer hat das streitbetroffene Fahrzeug nach der Verbringung ins Zollgebiet durch seine Verwendung übernommen (vgl. E. 3.1). In Folge dieser Übernahme ist er grundsätzlich zur Bezahlung der Einfuhrabgaben verpflichtet: Durch die Übernahme des Fahrzeugs gilt er als zuführungspflichtige Person (vgl. Art. 21 Abs. 1 ZG i.V.m. Art. 75 Bst. d ZV; vgl. E. 2.2). Als solche ist er zur Zollanmeldung verpflichtet (Art. 26 Bst. a ZG; vgl. E. 2.2). Als zur Zollanmeldung verpflichtete Person gehört er zum Kreis der Zollschuldner (Art. 70 Abs. 2 Bst. b ZG; vgl. E. 2.2) und ist auch mit Bezug auf die Einfuhrsteuer (Art. 51 Abs. 1 MWSTG) und die Automobilsteuer (Art. 9 Abs. 1 Bst. a AStG) steuerpflichtig. Dabei ist nicht erforderlich, dass der Beschwerdeführer Eigentümer oder Besitzer des Fahrzeugs ist (vgl. E. 2.3.1). Zudem spielt die Dauer der Verwendung der Ware keine Rolle (vgl. Urteil des BVGer A-3322/2018 vom 11. Dezember 2018 E. 9.2).</w:t>
      </w:r>
    </w:p>
    <w:p>
      <w:r>
        <w:rPr>
          <w:b/>
        </w:rPr>
        <w:t>E. 3.3</w:t>
      </w:r>
    </w:p>
    <w:p>
      <w:r>
        <w:t>Zu prüfen ist sodann die Frage, ob der Beschwerdeführer gestützt auf internationales oder nationales Recht Anspruch auf Befreiung von den Einfuhrabgaben hat.</w:t>
      </w:r>
    </w:p>
    <w:p>
      <w:r>
        <w:rPr>
          <w:b/>
        </w:rPr>
        <w:t>E. 3.3.1</w:t>
      </w:r>
    </w:p>
    <w:p>
      <w:r>
        <w:t>Das Istanbul Übereinkommen sieht für Personen mit Wohnsitz in der Schweiz, die ein im Ausland immatrikuliertes Fahrzeug zum eigenen Gebrauch im Zollgebiet benutzen, keine Zollerleichterung vor (vgl. E. 2.4.2). Der Beschwerdeführer hatte unstreitig seinen Wohnsitz in der Schweiz (vgl. E. 3.1). Die Voraussetzungen für die Zulassung des Fahrzeugs zur vorübergehenden Verwendung zum eigenen Gebrauch erfüllt er demnach nicht.</w:t>
      </w:r>
    </w:p>
    <w:p>
      <w:r>
        <w:rPr>
          <w:b/>
        </w:rPr>
        <w:t>E. 3.3.2</w:t>
      </w:r>
    </w:p>
    <w:p>
      <w:r>
        <w:t>Eine Bewilligung zur vorübergehenden Verwendung eines ausländischen Beförderungsmittels für den eigenen Gebrauch gestützt auf Art. 9 ZG i.V.m. Art. 35 Abs. 2 ZV muss bei der ersten Einfuhr beantragt werden (vgl. E. 2.5.4). Dass anlässlich der ersten Einfuhr (oder zu einem späteren Zeitpunkt) eine Bewilligung für das streitbetroffene Fahrzeug beantragt wurde, ist nicht aktenkundig und wird vom Beschwerdeführer auch nicht geltend gemacht. Eine nachträgliche Bewilligung gemäss Art. 35 Abs. 2 ZV ist nicht möglich (vgl. E. 2.5.4). Es erübrigt sich demnach zu prüfen, ob die Bewilligungsvor-aussetzungen im vorliegenden Fall erfüllt gewesen wären (vgl. für vergleichbare Sachverhalte: Urteile des BVGer A-3078/2021 vom 7. Juli 2023 E. 4.3.3.1; A-5320/2018 vom 26. August 2019 E. 5.2.2 in fine; A-4510/2018 vom 20. Mai 2019 E. 5.3.1).</w:t>
      </w:r>
    </w:p>
    <w:p>
      <w:r>
        <w:rPr>
          <w:b/>
        </w:rPr>
        <w:t>E. 3.3.3</w:t>
      </w:r>
    </w:p>
    <w:p>
      <w:r>
        <w:t>Zusammengefasst hat der Beschwerdeführer weder gestützt auf internationales noch nationales Recht Anspruch auf Befreiung von den Einfuhrabgaben.</w:t>
      </w:r>
    </w:p>
    <w:p>
      <w:r>
        <w:rPr>
          <w:b/>
        </w:rPr>
        <w:t>E. 3.4</w:t>
      </w:r>
    </w:p>
    <w:p>
      <w:r>
        <w:t>Indem der Beschwerdeführer das unverzollte Fahrzeug in der Schweiz verwendete, beging er eine objektive Widerhandlung gegen die Verwaltungsgesetzgebung des Bundes (vgl. E. 2.6 und 2.7). Die zu Unrecht nicht erhobenen Abgaben sind von ihm nachzuentrichten (vgl. E. 2.7.1), selbst wenn er nichts von der fehlenden Zolldeklaration wusste (vgl. E. 2.7.2). Der Beschwerdeführer ist subjektiv zur Nachleistung des Zolls und der weiteren Abgaben verpflichtet (vgl. E. 3.2 und E. 3.5 hiernach). In rechnerischer Hinsicht sind die Einfuhrabgaben inkl. Prüfungsgebühren unbestritten. Aus den Akten ergeben sich auch keine Hinweise auf eine allfällige Falschberechnung. Damit erübrigen sich weitere Ausführungen hierzu.</w:t>
      </w:r>
    </w:p>
    <w:p>
      <w:r>
        <w:rPr>
          <w:b/>
        </w:rPr>
        <w:t>E. 3.5</w:t>
      </w:r>
    </w:p>
    <w:p>
      <w:r>
        <w:t>Insoweit der Beschwerdeführer geltend machen will, sein Bruder (und nicht er selbst) hätte zur Bezahlung der anfallenden Kosten angehalten werden sollen, ist ihm nicht zu folgen. Zollschuldner haften, wie bereits erläutert, solidarisch. Das BAZG kann auf einen beliebigen Zollpflichtigen greifen (vgl. E. 2.7.2). Mit anderen Worten obliegt die Wahl, wer ins Recht gefasst werden soll, der Verwaltung, wobei das Kriterium bei der Auswahl sein dürfte, bei welchen Schuldnern die öffentlich-rechtliche Zollforderung am besten erhältlich gemacht werden kann. Der von der Verwaltung belangte Zollschuldner hat keinen Anspruch darauf, dass an seiner Stelle oder neben ihm auch andere mit ihm solidarisch haftende Schuldner leistungspflichtig zu erklären seien, würde sich doch dadurch an seiner eigenen Haftung nichts ändern (vgl. Urteil des BVGer A-3638/2012 vom 21. März 2013 E. 7.2).</w:t>
      </w:r>
    </w:p>
    <w:p>
      <w:r>
        <w:rPr>
          <w:b/>
        </w:rPr>
        <w:t>E. 3.6</w:t>
      </w:r>
    </w:p>
    <w:p>
      <w:r>
        <w:t>Der Beschwerdeführer rügt, die Erhebung der im Streit liegenden Nachforderung sei unverhältnismässig. Es ist verständlich, dass eine Nachforderung von Abgaben, wie sie hier vorliegt, finanziell stark belasten kann. Indes beruht die Abgabeerhebung auf dem involvierten Fahrzeug auf klarer bundesgesetzlicher Grundlage, weshalb das Vorgehen der Vorinstanz mit Blick auf das Anwendungsgebot von Art. 190 BV gerechtfertigt ist: Wie aufgezeigt, unterliegt das Fahrzeug als Ware, die ins Zollgebiet verbracht wurde, qua Bundesgesetzgebung der allgemeinen Zollpflicht. Auch das zwingende Erfordernis einer Anmeldung anlässlich der ersten Einfuhr für das Verfahren der vorübergehenden Verwendung bzw. das Erwirken einer entsprechenden Zoll- und Steuerbefreiung ist auf der Ebene der Bundesgesetze bzw. im ZG verankert. Die Nachleistungspflicht ergibt sich sodann insbesondere aus Art. 12 VStrR (vgl. E. 3.2 und 3.4). Von der einschlägigen bundesgesetzlichen Ordnung kann mangels Entschliessungsermessens der rechtsanwendenden Verwaltung, anders zu entscheiden, und aufgrund des Anwendungsgebotes von Art. 190 BV nicht abgewichen werden. Für Verhältnismässigkeitsüberlegungen bleibt bei der hier zu beurteilenden Konstellation kein Raum (vgl. E. 2.8). Somit dringt die Behauptung des Beschwerdeführers, die Nachforderung sei unverhältnismässig, nicht durch.</w:t>
      </w:r>
    </w:p>
    <w:p>
      <w:r>
        <w:rPr>
          <w:b/>
        </w:rPr>
        <w:t>E. 3.7</w:t>
      </w:r>
    </w:p>
    <w:p>
      <w:r>
        <w:t>Zusammenfassend ist die Nachforderungsverfügung vom 23. Juli 2021 zu bestätigen. Die Beschwerde ist abzuweisen.</w:t>
      </w:r>
    </w:p>
    <w:p>
      <w:r>
        <w:rPr>
          <w:b/>
        </w:rPr>
        <w:t>E. 4</w:t>
      </w:r>
    </w:p>
    <w:p>
      <w:r>
        <w:t>Ausgangsgemäss hat der Beschwerdeführer die Verfahrenskosten, einschliesslich der Kosten für die Zwischenverfügung vom 29. Februar 2024, zu tragen (Art. 63 Abs. 1 VwVG). Diese sind auf Fr. 3'000.-- festzulegen (Art. 2 Abs. 1 i.V.m. Art. 4 des Reglements vom 21. Februar 2008 über die Kosten und Entschädigungen vor dem Bundesverwaltungsgericht [VGKE, SR 173.320.2]). Der in gleicher Höhe geleistete Kostenvorschuss ist für die Bezahlung der Verfahrenskosten zu verwenden.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