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A-3625/2020 vom 20. Oktober 2022</w:t>
      </w:r>
    </w:p>
    <w:p>
      <w:r>
        <w:t>Bundesverwaltungsgericht, 2022-10-20, IT</w:t>
      </w:r>
    </w:p>
    <w:p>
      <w:r>
        <w:rPr>
          <w:b/>
        </w:rPr>
        <w:t xml:space="preserve">Quelle: </w:t>
      </w:r>
      <w:r>
        <w:t>https://mcp.opencaselaw.ch/entscheid/bvger_A-3625_2020</w:t>
      </w:r>
    </w:p>
    <w:p>
      <w:r>
        <w:t>FR: TAF A-3625/2020 du 20 octobre 2022</w:t>
      </w:r>
    </w:p>
    <w:p>
      <w:r>
        <w:t>IT: TAF A-3625/2020 del 20 ottobre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15 giugno 2020 dell'autorità inferiore, con cui ha accolto la domanda raggruppata italiana di assistenza amministrativa del 23 novembre 2018, per quanto concerne il qui ricorrente. In tale contesto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basa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formulate.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ampia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estenderne, né restringerne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ammessa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si applica,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questo Tribunale rileva come in concreto la domanda raggruppata italiana di assistenza amministrativa del 23 novembre 2018, alla base della presente procedura di ricorso, sia già stata oggetto - come detto (cfr. fatti, sub lett. E) - della sentenza pilota del TAF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relazione con degli elementi su cui il Tribunale federale non si è pronunciato nella predetta sentenza 2C_73/2021, possono essere, di principio, ancora esaminate in dettaglio dal TAF. Per quanto attiene alle censure già evase dal Tribunale federale, questo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corrisponde altresì a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 TAF,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federale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per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stabilito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contesta che la domanda raggruppata italiana del 23 novembre 2018 si possa fondare sull'Accordo amministrativo come preteso dall'autorità richiedente, non rientrando quest'ultimo nella normativa internazionale applicabile. Inoltre, precisa che, anche qualora si volesse per ipotesi ritenere legittima l'applicabilità dell'Accordo amministrativo, le condizioni di ricevibilità poste (in particolare dall'art. 4) non sarebbero adempiute in quanto - da un lato - la lettera del 3 febbraio 2014 non è mai stata spedita/ricevuta, essendo stata trasmessa unicamente la comunicazione "nuove disposizioni per la clientela con residenza fiscale in Italia" del 20 febbraio 2015 e - d'altro lato - entrambi gli scritti in ogni caso non preannunciavano una chiusura forzata del conto in assenza della prova della conformità fiscale, bensì unicamente delle restrizioni dell'operatività. Egli ritiene altresì che la domanda di assistenza amministrativa italiana esula dal campo di applicazione temporale della normativa convenzionale, essendo le comunicazioni del 3 febbraio 2014 e del 20 febbraio 2015 anteriori al 23 febbraio 2015, data a partire dalla quale si applicano le disposizioni del Protocollo di modifica concluso il medesimo giorno. Infine, a suo dire la richiesta italiana configura una ricerca indiscriminata e generalizzata di informazioni e viola il principio della buona fede, dal momento che la lettera del 3 febbraio 2014 allegata alla domanda di assistenza amministrativa da parte dell'autorità richiedente non era all'evidenza autentica, ciò che avrebbe comportato un rovesciamento della presunzione di buona fede di cui lo stato richiedente di principio gode (cfr. ricorso del 16 luglio 2020).</w:t>
      </w:r>
    </w:p>
    <w:p>
      <w:r>
        <w:rPr>
          <w:b/>
        </w:rPr>
        <w:t>E. 4.2.5</w:t>
      </w:r>
    </w:p>
    <w:p>
      <w:r>
        <w:t>Tali censure non possono che essere respinte. Gli argomenti sollevati dal ricorrente circa l'ammissibilità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infatti la predetta domanda raggruppata in quanto tale che è stata ritenuta ammissibile dal Tribunale federale. Al riguardo con la menzionata sentenza l'Alta Corte ha già chiarito che l'Accordo amministrativo - poco importa sapere se sia o meno "vincolante" - non può contraddire lo spirito e gli scopi della CDI CH-IT su cui si fonda e, in particolare, non può dunque rivelarsi più restrittivo di quest'ultima. Pertanto, le persone interessate dalla richiesta di informazioni non possono fondarsi sull'Accordo amministrativo per opporsi alla domanda raggruppata italiana, essendo la stessa conforme alla CDI CH-IT e al relativo Protocollo aggiuntivo. Il ricorrente non può dunque essere seguito allorquando ritiene la domanda di informazioni inammissibile in quanto fondata sull'Accordo amministrativo o in quanto contraria alle disposizioni dello stesso (cfr. in particolare il consid. 3.1.2 del presente giudizio). D'altro canto, come sancito dal Tribunale federale nella citata sentenza di principio, poco importa se la domanda raggruppata menzionasse in un primo tempo la lettera del 3 febbraio 2014, il cui invio effettivo ai clienti della banca non ha potuto essere dimostrato: il riferimento a tale lettera e la mancata ricezione della stessa da parte del ricorrente, non ha infatti alcuna conseguenza sull'ammissibilità della domanda raggruppata (sentenza TF 2C_73/2021 consid. 4.3.2). Il ricorrente non può neppure essere seguito laddove ritiene irricevibile la domanda di assistenza amministrativa ratione temporis in quanto le menzionate lettere della banca del 3 febbraio 2014 e del 20 febbraio 2015 sono entrambe precedenti all'entrata in vigore delle modifiche introdotte dal Protocollo di modifica del 23 febbraio 2015. Conformemente a quanto previsto dalle disposizioni convenzionali applicabili a decorrere dal 13 luglio 2016, la richiesta di informazioni - che data del 23 novembre 2018 - è stata infatti limitata al periodo 23 febbraio 2015 - 31 dicembre 2016. È pertanto irrilevante sapere quando la banca ha notificato la lettera in questione, non essendo stata richiesta la trasmissione di informazioni in merito alla stessa, rispettivamente nessuna informazione in merito al periodo in cui la lettera è stata recapitata al cliente (cfr. consid. 3.1.2 del presente giudizio). Peraltro, sia questo Tribunale che il Tribunale federale hanno già confermato la ricevibilità della domanda raggruppata italiana anche sotto questo profilo (v. in particolare sentenza del TF 2C_73/2021 consid. 3.2). Per quel che concerne infine la censura relativa alla buona fede dello Stato richiedente in relazione allo scritto del 3 febbraio 2014, è qui sufficiente rinviare al consid. 7 della menzionata sentenza del TF 2C_73/2021, in cui l'Alta Corte ha già stabilito come non vi sono indizi che la richiesta di assistenza amministrativa in esame sia fondata su atti illeciti o che la lettera del 3 febbraio 2014 sia un falso creato ad hoc dall'autorità richiedente (v. anche consid. 4.2.2 del presente giudizio).</w:t>
      </w:r>
    </w:p>
    <w:p>
      <w:r>
        <w:rPr>
          <w:b/>
        </w:rPr>
        <w:t>E. 5.1</w:t>
      </w:r>
    </w:p>
    <w:p>
      <w:r>
        <w:t>Constatata l'ammissibilità della domanda raggruppata italiana di assistenza amministrativa del 23 novembre 2018, occorre ancora stabilire se il ricorrente rientra o meno nel modello di comportamento (lecitamente) ivi descritto dall'autorità richiedente italiana.</w:t>
      </w:r>
    </w:p>
    <w:p>
      <w:r>
        <w:rPr>
          <w:b/>
        </w:rPr>
        <w:t>E. 5.2</w:t>
      </w:r>
    </w:p>
    <w:p>
      <w:r>
        <w:t>Al riguardo il Tribunale adito rileva innanzitutto che da un esame dell'incarto - e meglio dalla documentazione fornita dalla banca B._______/C._______ (cfr. doc. 18 dell'incarto prodotto dall'autorità inferiore su chiave USB [di seguito: inc. AFC]) - e come rimasto incontestato risulta che durante il periodo interessato dalla predetta domanda raggruppata (ossia dal 23 febbraio 2015 al 31 dicembre 2016) il ricorrente era domiciliato in Italia ed era titolare di un conto bancario presso la banca B._______/C._______, sul quale erano depositati il 28 febbraio 2015 CHF (...). È inoltre incontestato che gli sia stata notificata la lettera del 20 febbraio 2015, che informava delle importanti restrizioni dei servizi bancari applicate in caso di mancata prova della conformità fiscale del proprio conto presso la predetta banca (cfr. consid. 9.1.2 del ricorso, nonché doc. 18.2 inc. AFC). Ad ogni buon conto, il ricorrente aveva impostato il fermo posta in banca e quest'ultima ha attestato che egli doveva essere a conoscenza dello scritto in questione in quanto si era recato in banca il 25 agosto 2015 e aveva fatto distruggere la posta a lui destinata (cfr. consid. 4.2.1.2 del presente giudizio e doc. 18.2 inc. AFC). Infine, dagli atti all'incarto - e come giustamente evidenziato dall'autorità inferiore (cfr. decisione impugnata, consid. 8) - risulta che il ricorrente non ha reagito a detta lettera fornendo alla banca la prova della sua conformità alla normativa fiscale italiana. Ciò che non viene peraltro neppure sollevato o contestato dall'interessato. A tal proposito, egli sostiene tuttavia che la relazione in questione era un conto nominativo soggetto a ritenuta d'imposta ai sensi della normativa all'epoca in vigore e pertanto detenuto legittimamente senza che fosse necessaria alcuna notifica in merito. Ritiene dunque che le informazioni richieste non possono essere considerate "verosimilmente rilevanti". In questa sede, è tuttavia irrilevante sapere se il ricorrente avrebbe potuto o dovuto essere imposto o meno sugli averi del conto presso B._______, né se la regolarizzazione degli averi di cui egli disponeva avrebbe modificato la sua situazione fiscale in Italia. La concessione dell'assistenza amministrativa non dipende infatti dalla questione se il ricorrente abbia soggettivamente voluto o meno regolarizzare i propri averi detenuti in Svizzera, né tantomeno dalla situazione patrimoniale del conto di cui era titolare durante il periodo oggetto della domanda, bensì unicamente dalla questione s'egli abbia oggettivamente fornito alla banca la prova di detta regolarizzazione nel termine impartito (cfr. consid. 3.3.1). Ciò che non risulta essere il caso, né tantomeno il ricorrente lo pretende, nell'evenienza concreta. Ne consegue che si deve dunque concludere che egli rientra nel modello di comportamento in oggetto e che la trasmissione delle informazioni è ammissibile.</w:t>
      </w:r>
    </w:p>
    <w:p>
      <w:r>
        <w:rPr>
          <w:b/>
        </w:rPr>
        <w:t>E. 6.1</w:t>
      </w:r>
    </w:p>
    <w:p>
      <w:r>
        <w:t>Nel proprio gravame, il ricorrente lamenta infine una violazione delle garanzie procedurali, sotto forma di grave e quindi irrimediabile violazione del diritto di essere sentito, in particolare dell'obbligo di motivazione. Egli sostiene infatti che la decisione impugnata abbia un taglio troppo generico, difettando segnatamente di un esame delle circostanze del caso concreto. Inoltre, l'autorità inferiore non si sarebbe sufficientemente confrontata con le obiezioni puntuali e circostanziate sollevate con le osservazioni del 18 marzo 2020 (cfr. consid. 4 del ricorso). Pertanto chiede un rinvio degli atti all'amministrazione affinché faccia fronte alle menzionate carenze.</w:t>
      </w:r>
    </w:p>
    <w:p>
      <w:r>
        <w:rPr>
          <w:b/>
        </w:rPr>
        <w:t>E. 6.2.1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w:t>
      </w:r>
    </w:p>
    <w:p>
      <w:r>
        <w:rPr>
          <w:b/>
        </w:rPr>
        <w:t>E. 6.2.2</w:t>
      </w:r>
    </w:p>
    <w:p>
      <w:r>
        <w:t>Per costante giurisprudenza, dal diritto di essere sentito garantito dall'art. 29 cpv. 2 Cost. deve in particolare essere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135 I 279 consid. 2.3 e 132 V 368 consid. 3.1 pag. 370 e sentenze ivi citate). Il diritto di essere sentito comprende inoltre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6.2.3</w:t>
      </w:r>
    </w:p>
    <w:p>
      <w:r>
        <w:t>Invero l'autorità non è tenuta a compiere un'analisi approfondita di tutte le allegazioni di parte e esaminare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nel merito (DTF 118 Ia 17 consid. 1; 117 Ia 7 consid. 1a e 115 Ia 10 consid. 2a).</w:t>
      </w:r>
    </w:p>
    <w:p>
      <w:r>
        <w:rPr>
          <w:b/>
        </w:rPr>
        <w:t>E. 6.2.4</w:t>
      </w:r>
    </w:p>
    <w:p>
      <w:r>
        <w:t>Va poi rammentato che quando il Tribunale federale controlla l'applicazione dell'art. 29 cpv. 2 Cost., esso ne determina il contenuto e la portata in funzione della situazione concreta e tenuto conto degli interessi in gioco (DTF 123 I 63 consid. 2d pag. 68 seg.). Vanno in particolare considerati, da un lato, il pregiudizio alla situazione dell'interessato così come risulta dalla decisione che deve essere adottata e, dall'altro, l'importanza e l'urgenza dell'intervento amministrativo (sentenza del TF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(DTF 123 I 63 consid. 2d pag. 69 seg.; DTF 111 Ia 273 consid. 2b), a condizione però che la violazione non sia di particolare gravità (DTF 126 I 68 consid. 2 pag. 72).</w:t>
      </w:r>
    </w:p>
    <w:p>
      <w:r>
        <w:rPr>
          <w:b/>
        </w:rPr>
        <w:t>E. 6.2.5</w:t>
      </w:r>
    </w:p>
    <w:p>
      <w:r>
        <w:t>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6.3</w:t>
      </w:r>
    </w:p>
    <w:p>
      <w:r>
        <w:t>In concreto il Tribunale rileva - come peraltro rettamente evidenziato dall'AFC con la risposta di causa (cfr. risposta consid. 3 e segg.) - che all'autorità amministrativa, specie in procedimenti della cosiddetta amministrazione di massa ("Massenverwaltung"), è di principio permesso ricorrere a paragrafi standardizzati, a condizione che il provvedimento contenga nondimeno una motivazione lineare, comprensibile e appropriata (cfr. sentenza del TAF A-2304/2018 del 14 agosto 2019 consid. 1.5.3.2 e Kneubühler Lorenz / Pedretti Ramona in: Christoph Auer/Markus Müller/Benjamin Schindler (ed.), Kommentar zum Bundesgesetz über das Verwaltungsverfahren, 2019, N 10 e 18 ad art. 35). Nel caso in esame va da sé che i paragrafi standardizzati permettono in primo luogo di contestualizzare il procedimento del ricorrente all'interno della domanda raggruppata di assistenza amministrativa in materia fiscale del 23 novembre 2018, risultando pertanto non solo utili ma anche necessari per un corretto apprezzamento della fattispecie. Nondimeno, la decisione del 15 giugno 2020 contiene altresì un'analisi dettagliata delle particolarità del caso concreto (cfr. consid. 8.1 a 8.5). Inoltre l'autorità inferiore si è pure espressa in dettaglio sulle osservazioni del 18 marzo 2020 (cfr. in particolare consid. 8.6). Da quanto precede discende quindi che la decisione impugnata è stata motivata in modo tale da permettere al ricorrente di comprendere le considerazioni su cui si è fondata l'autorità inferiore e di impugnarla con cognizione di causa, ciò che ha peraltro fatto con il gravame del 16 luglio 2020.</w:t>
      </w:r>
    </w:p>
    <w:p>
      <w:r>
        <w:rPr>
          <w:b/>
        </w:rPr>
        <w:t>E. 6.4</w:t>
      </w:r>
    </w:p>
    <w:p>
      <w:r>
        <w:t>In definitiva, la censura di violazione del diritto di essere sentito è infondata e pertanto deve essere respinta.</w:t>
      </w:r>
    </w:p>
    <w:p>
      <w:r>
        <w:rPr>
          <w:b/>
        </w:rPr>
        <w:t>E. 7.1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7.2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7.3</w:t>
      </w:r>
    </w:p>
    <w:p>
      <w:r>
        <w:t>In definitiva, la decisione impugnata va dunque confermata e il ricorso del ricorrente integralmente respinto, con le precisazioni all'attenzione dell'autorità inferiore di cui al consid. 7.2 circa il principio di specialità.</w:t>
      </w:r>
    </w:p>
    <w:p>
      <w:r>
        <w:rPr>
          <w:b/>
        </w:rPr>
        <w:t>E. 8</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CHF 5'000.- (cfr. art. 4 TS-TAF), importo che verrà detratto interamente dall'anticipo spese di CHF 5'000.- da lui versato a suo tempo. Non vi sono poi i presupposti per l'assegnazione al ricorrente di 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