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A-3603/2007 vom 15. April 2008</w:t>
      </w:r>
    </w:p>
    <w:p>
      <w:r>
        <w:t>Bundesverwaltungsgericht, 2008-04-15, FR</w:t>
      </w:r>
    </w:p>
    <w:p>
      <w:r>
        <w:rPr>
          <w:b/>
        </w:rPr>
        <w:t xml:space="preserve">Quelle: </w:t>
      </w:r>
      <w:r>
        <w:t>https://mcp.opencaselaw.ch/entscheid/bvger_A-3603_2007</w:t>
      </w:r>
    </w:p>
    <w:p>
      <w:r>
        <w:t>FR: TAF A-3603/2007 du 15 avril 2008</w:t>
      </w:r>
    </w:p>
    <w:p>
      <w:r>
        <w:t>IT: TAF A-3603/2007 del 15 aprile 2008</w:t>
      </w:r>
    </w:p>
    <w:p>
      <w:pPr>
        <w:pStyle w:val="Heading2"/>
      </w:pPr>
      <w:r>
        <w:t>Regeste</w:t>
      </w:r>
    </w:p>
    <w:p>
      <w:r>
        <w:t>Déchets</w:t>
      </w:r>
    </w:p>
    <w:p>
      <w:pPr>
        <w:pStyle w:val="Heading2"/>
      </w:pPr>
      <w:r>
        <w:t>Erwägungen</w:t>
      </w:r>
    </w:p>
    <w:p>
      <w:r>
        <w:rPr>
          <w:b/>
        </w:rPr>
        <w:t>E. 9</w:t>
      </w:r>
    </w:p>
    <w:p>
      <w:r>
        <w:t>On doit enfin examiner si l'autorité intimée, en refusant les requêtes d'importation de déchets, a violé d'autres principes fondamentaux.</w:t>
      </w:r>
    </w:p>
    <w:p>
      <w:r>
        <w:rPr>
          <w:b/>
        </w:rPr>
        <w:t>E. 9.1</w:t>
      </w:r>
    </w:p>
    <w:p>
      <w:r>
        <w:t>La recourante a reproché à l'autorité intimée d'avoir violé l'art. 9 Cst., dans la mesure où celle-ci avait autorisé à quatre reprises entre 2005 et 2006 l'importation en Suisse de déchets d'amiante provenant d'Italie. Or, la recourante a invoqué que la situation ne s'était pas modifiée au point de justifier un changement aussi radical de pratique. L'OPED a expliqué que l'octroi des quatre autorisations d'importer octroyées entre 2005 et 2006 était exceptionnel. L'autorité intimée a relevé que le fait d'autoriser quatre demandes d'importation en moins de 2 ans ne constituait pas une pratique. Par ailleurs, il a allégué que des motifs objectifs justifiaient les refus des requêtes d'importation, dans la mesure où l'Autriche avait décidé de rejeter l'importation de ce type de déchets et où il était probable que les autres Etats membres de l'Union européenne fassent de même; on devait dès lors s'attendre à une augmentation de ce genre de demandes.</w:t>
      </w:r>
    </w:p>
    <w:p>
      <w:r>
        <w:rPr>
          <w:b/>
        </w:rPr>
        <w:t>E. 9.2</w:t>
      </w:r>
    </w:p>
    <w:p>
      <w:r>
        <w:t>On parle de « pratique » pour désigner la répétition régulière et constante dans l'application d'une norme par les autorités de première instance. Les pratiques ne peuvent être source du droit. Elles ne lient pas le juge. Elles peuvent néanmoins directement avoir un effet juridique: comme pour les revirements de jurisprudence, par le biais du principe de l'égalité de traitement (Moor, op. cit., vol. I, p. 76). Un changement de pratique administrative doit donc reposer sur des motifs objectifs et sérieux, tels qu'un examen approfondi des intentions du législateur, la modification de circonstances extérieures, un changement de conception juridique ou l'évolution des moeurs (ATF 126 V 36 consid. 5, arrêt du 14 février 2001 2A.249/2000).</w:t>
      </w:r>
    </w:p>
    <w:p>
      <w:r>
        <w:rPr>
          <w:b/>
        </w:rPr>
        <w:t>E. 9.3</w:t>
      </w:r>
    </w:p>
    <w:p>
      <w:r>
        <w:t>En l'espèce, l'autorité intimée a rendu entre 2005 et 2006 quatre décisions autorisant des sociétés sises en Italie à importer leurs déchets contenant de l'amiante en Suisse. Même si l'on pouvait considérer que le fait de rendre quatre décisions ayant le même objet constituât une pratique, un changement de celle-ci se justifierait in casu. En effet, il ressort du dossier que les circonstances se sont modifiées, dans la mesure où les demandes d'importation de ce type de déchets ont sensiblement augmenté ces derniers mois, ce que la recourante ne conteste du reste pas. Par ailleurs, il n'apparaît pas que tel ne sera pas le cas dans les années à venir. Dans de telles circonstances, le TAF ne peut retenir une violation du principe de l'égalité de traitement.</w:t>
      </w:r>
    </w:p>
    <w:p>
      <w:r>
        <w:rPr>
          <w:b/>
        </w:rPr>
        <w:t>E. 9.4</w:t>
      </w:r>
    </w:p>
    <w:p>
      <w:r>
        <w:t>Sur le vu de ce qui précède, les recours se révèlent mal fondés et doivent être rejetés.</w:t>
      </w:r>
    </w:p>
    <w:p>
      <w:r>
        <w:rPr>
          <w:b/>
        </w:rPr>
        <w:t>E. 10</w:t>
      </w:r>
    </w:p>
    <w:p>
      <w:r>
        <w:t>Conformément à l'art. 63 al. 1 PA, les frais de procédure comprenant l'émolument d'arrêté, les émoluments de chancellerie et les débours sont mis à la charge de la partie qui succombe. Les frais de procédure sont ainsi mis à la charge de la recourante. Ils sont fixés à Fr. 6'000.-- pour les deux procédures et seront prélevés sur les montants versés à titre d'avance. Dans la mesure où la recourante succombe, il n'y a pas lieu de lui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