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A-3585/2008 vom 4. Juni 2009</w:t>
      </w:r>
    </w:p>
    <w:p>
      <w:r>
        <w:t>Bundesverwaltungsgericht, 2009-06-04, DE</w:t>
      </w:r>
    </w:p>
    <w:p>
      <w:r>
        <w:rPr>
          <w:b/>
        </w:rPr>
        <w:t xml:space="preserve">Quelle: </w:t>
      </w:r>
      <w:r>
        <w:t>https://mcp.opencaselaw.ch/entscheid/bvger_A-3585_2008</w:t>
      </w:r>
    </w:p>
    <w:p>
      <w:r>
        <w:t>FR: TAF A-3585/2008 du 4 juin 2009</w:t>
      </w:r>
    </w:p>
    <w:p>
      <w:r>
        <w:t>IT: TAF A-3585/2008 del 4 giugno 2009</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form- und fristgerecht eingereichte Beschwerde ist deshalb einzutreten.</w:t>
      </w:r>
    </w:p>
    <w:p>
      <w:r>
        <w:rPr>
          <w:b/>
        </w:rPr>
        <w:t>E. 1.2</w:t>
      </w:r>
    </w:p>
    <w:p>
      <w:r>
        <w:t>Am 1. Mai 2007 sind das Zollgesetz vom 18. März 2005 (ZG, SR 631.0) sowie die dazugehörige Verordnung vom 1. November 2006 (ZV, SR 631.01) in Kraft getreten. Der zu beurteilende Sachverhalt betrifft Einfuhren aus dem Jahre 2005, so dass auf die vorliegende Beschwerde materiell noch die alte Zollrechtsordnung (vgl. Zollgesetz vom 1. Oktober 1925 [aZG, AS 42 287 und BS 6 465] sowie die Verordnung vom 10. Juli 1926 zum Zollgesetz [aZV, AS 42 339 und BS 6 514]) Anwendung findet (vgl. Art. 132 Abs. 1 ZG).</w:t>
      </w:r>
    </w:p>
    <w:p>
      <w:r>
        <w:rPr>
          <w:b/>
        </w:rPr>
        <w:t>E. 2</w:t>
      </w:r>
    </w:p>
    <w:p>
      <w:r>
        <w:t>Nach Art. 1 aZG hat, wer Waren über die Zollgrenze befördert, die Vorschriften für den Verkehr über die Grenze und die Entrichtung der Abgaben nach dem Zolltarifgesetz vom 9. Oktober 1986 (ZTG; SR 632.10) zu befolgen. Alle Waren, die über die schweizerische Zollgrenze ein- oder ausgeführt werden, müssen grundsätzlich nach dem Generaltarif gemäss Art. 1 Abs. 1 ZTG, Anhänge 1 und 2, verzollt werden, der auch die Zollkontingente regelt. Als Zollkontingent gilt eine bestimmte Menge eines landwirtschaftlichen Erzeugnisses, die zu einem bestimmten Zollansatz eingeführt werden kann. Die im Zusammenhang mit dem Beitritt der Schweiz zur Welthandelsorganisation (WTO) per 1. Juli 1995 und der Ratifizierung der entsprechenden GATT/WTO-Übereinkommen (Abkommen vom 15. April 1994 zur Errichtung der Welthandelsorganisation; SR 0.632.20) eingeführte Regelung erlaubt sowohl den Import inner- als auch ausserhalb eines Zollkontingents. Die Einfuhr innerhalb des Zollkontingents unterliegt jedoch einem geringeren Zollansatz, während für die Einfuhr ausserhalb des Zollkontingents regelmässig ein bedeutend höherer Zoll bezahlt werden muss, der gewöhnlich prohibitive Wirkung hat (vgl. BGE 129 II 160 E. 2.1, 128 II 34 E. 2b; Botschaft des Bundesrates zur Reform der Agrarpolitik: Zweite Etappe [Agrarpolitik 2002], BBl 1996 IV S. 115). Im Agrarbereich hat der Bundesrat die Verteilung der Zollkontingente in den Art. 10 bis 20 der Allgemeinen Verordnung vom 7. Dezember 1998 über die Einfuhr von landwirtschaftlichen Erzeugnissen (Agrareinfuhrverordnung, AEV; SR 916.01) geregelt (vgl. Art. 10 Abs. 4 lit. b und c ZTG in Verbindung mit den Art. 20 bis 22 des Bundesgesetzes vom 29. April 1998 über die Landwirtschaft [Landwirtschaftsgesetz, LwG; SR 910.1]). Im Fall der Zuteilung durch Versteigerung (Art. 16 ff. AEV) ist nach Art. 19 Abs. 2 AEV vor der Bezahlung des gesamten Zuschlagspreises die Einfuhr zum KZA nicht zulässig (BGE 129 II 160 E. 3.2). Im Bereich des Schlachtvieh- und Fleischmarktes gilt nach Art. 19 Abs. 1 der Verordnung vom 26. November 2003 über den Schlachtvieh- und Fleischmarkt (Schlachtviehverordnung, SV; SR 916.341) die gleiche Vorschrift, dass die Einfuhr zum KZA oder zum Nullzoll erst nach der Zahlung des gesamten Zuschlagspreises zulässig ist ([anstelle zahlreicher] Urteil des Bundesverwaltungsgerichts A-1723/2006 vom 19. September 2007 E. 2 mit weiteren Hinweisen). Mit dieser Regelung hat der Bundesrat eine Vorbedingung in Form der vorgängigen Bezahlung des gesamten Zuschlagspreises eingeführt, von deren Einhaltung die Einfuhr zu den Vorzugsbedingungen des KZA abhängt (vgl. BGE 129 II 160 E. 2.3; Urteil des Bundesgerichts 2A.65/2003 vom 29. Juli 2003).</w:t>
      </w:r>
    </w:p>
    <w:p>
      <w:r>
        <w:rPr>
          <w:b/>
        </w:rPr>
        <w:t>E. 3</w:t>
      </w:r>
    </w:p>
    <w:p>
      <w:r>
        <w:t>Werden Waren zum KZA deklariert, obwohl kein (genügender) Kontingentsanteil (mehr) zur Verfügung steht, so wird objektiv der Tatbestand der Zollübertretung (Art. 74 Ziff. 9 aZG) erfüllt (vgl. Art. 118 ZG [Zollhinterziehung]). Gemäss Art. 12 des Bundesgesetzes vom 22. März 1974 über das Verwaltungsstrafrecht (VStrR, SR 313.0) ist die infolge einer Widerhandlung zu Unrecht nicht erhobene Abgabe ohne Rücksicht auf die Strafbarkeit einer Person nachzuentrichten (Abs. 1). Art 12 Abs. 2 VStrR ergänzt, dass zur Nachleistung verpflichtet ist, wer in den Genuss des unrechtmässigen Vorteils gelangt ist, insbesondere der zur Zahlung der Abgabe Verpflichtete oder der Empfänger der Vergütung oder des Beitrages. Zu den gestützt auf Art. 12 Abs. 2 VStrR Nachleistungspflichtigen gehören insbesondere jene Personen, welche wie Speditionsfirmen dem weit gezogenen Kreis der Zollzahlungspflichtigen nach Art. 13 und 9 aZG zugehören, denn sie gelten ipso facto als durch die Nichtbezahlung der Abgabe bevorteilt (vgl. Urteil des Bundesgerichts 2A.82/2005 vom 23. August 2005 E. 2.1; [anstelle vieler] Urteil des Bundesverwaltungsgerichts A-1726/2006 vom 28. Januar 2008 E. 3.1).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nichts von der falschen Deklaration wussten (BGE 106 Ib 198 E. 6c/d) und selber aus der Widerhandlung keinen persönlichen Nutzen gezogen haben (Urteil des Bundesgerichts 2A.242/2006 vom 2. Februar 2007 E. 2.1; vgl. zum Ganzen auch MICHAEL BEUSCH, in Martin Kocher/Diego Clavadetscher [Hrsg.], Zollgesetz, Bern 2009 Rz. 12 zu Art. 70).</w:t>
      </w:r>
    </w:p>
    <w:p>
      <w:r>
        <w:rPr>
          <w:b/>
        </w:rPr>
        <w:t>E. 4.1</w:t>
      </w:r>
    </w:p>
    <w:p>
      <w:r>
        <w:t>Unbestrittenermassen hat die Beschwerdeführerin als Spediteurin 9'000 Kilogramm Rindfleisch über die Grenze gebracht und diese zum KZA deklariert; sie tat dies, obwohl die Importeurin A._______ GmbH den Zuschlagspreis noch nicht entrichtet hatte und deshalb der höhere AKZA hätte angewendet werden müssen (vgl. E. 2). Darin liegt objektiv eine Zollübertretung im Sinne von Art. 74 Ziff. 9 aZG. Die Beschwerdeführerin, welche wie dargelegt zum Kreis der Zollzahlungspflichtigen nach Art. 13 und 9 aZG gehört (vgl. E. 3.1), ist dergestalt für die nicht erhobenen Abgaben nachleistungspflichtig (vgl. Urteil des Bundesgerichts 2A.82/2005 vom 23. August 2005 E. 3.1). Dies hat die Vorinstanz zu Recht entsprechend festgehalten.</w:t>
      </w:r>
    </w:p>
    <w:p>
      <w:r>
        <w:rPr>
          <w:b/>
        </w:rPr>
        <w:t>E. 4.2</w:t>
      </w:r>
    </w:p>
    <w:p>
      <w:r>
        <w:t>Als nicht stichhaltig erweisen sich dagegen die Vorbringen der Beschwerdeführerin. Vorab ist nicht ersichtlich, inwieweit sich der vorliegend verwirklichte Sachverhalt in den rechtlich massgebenden Aspekten von demjenigen im Urteil des Bundesgerichts 2A.82/2005 vom 23. August 2005 beurteilten unterscheiden soll. Hier wie dort wurden Waren zu Unrecht zum KZA angemeldet. Dabei ist unerheblich, ob das Kontingent bereits ausgeschöpft oder mangels Bezahlung des Zuschlagspreises noch nicht verfügbar war. Was sodann die Rügen der mangelnden Kommunikation bzw. des ungenügenden rechtzeitigen Einbezugs der Beschwerdeführerin in das Verfahren gegen die Importeurin A._______ GmbH betrifft, wodurch der Verzoller zum Bürgen werde, so verkennt das Bundesverwaltungsgericht - wie im Übrigen auch der Gesetzgeber - die mit dieser Rechtslage für Speditionsfirmen wie die Beschwerdeführerin verbundenen unbefriedigenden Folgen durchaus nicht, ebensowenig den Umstand, dass sich nach heute geltendem Recht Fälle wie der vorliegende höchstens ganz ausnahmsweise mehr ereignen können (Art. 70 Abs. 4 Bst. b ZG; vgl. auch BBl 2004 643 sowie BEUSCH, a.a.O., Rz. 21 zu Art. 70). Für den hier einzig interessierenden Zeitraum fehlt es indessen an einer die Solidarhaft ausschliessenden Gesetzesnorm ebenso wie an einer solchen, welche den vorgängigen Einbezug des potentiell Solidarhaftenden ermöglicht hätte (so z.B. seit dem 1. April 2008 vorgesehen in Art. 36a f. der Verordnung vom 6. März 2000 über eine leistungsabhängige Schwerverkehrsabgabe [SR 641.811]). Nach dem damals geltenden Recht bleibt es dabei, dass die Zollbehörden die Beschwerdeführerin in Anspruch nehmen durften. Was schliesslich die Bemerkungen zum Verhalten der Importeurin A._______ GmbH bzw. von deren Rechtsvertreter betrifft, so bildet dieses nicht Gegenstand des vorliegenden Verfahrens und ist es der Beschwerdeführerin unbenommen, entsprechende Schritte in den dafür vorgesehenen Verfahren zu ergreifen. Die Beschwerde ist mithin vollumfänglich abzuweisen.</w:t>
      </w:r>
    </w:p>
    <w:p>
      <w:r>
        <w:rPr>
          <w:b/>
        </w:rPr>
        <w:t>E. 5</w:t>
      </w:r>
    </w:p>
    <w:p>
      <w:r>
        <w:t>Bei diesem Ausgang des Verfahrens hat die Beschwerdeführerin nach Art. 63 Abs. 1 VwVG die Verfahrenskosten zu tragen. Sie werden nach Art. 4 des Reglements vom 21. Februar 2008 über die Kosten und Entschädigungen vor dem Bundesverwaltungsgericht (VGKE, SR 173.320.2) auf Fr. 5'000.-- festgesetzt und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