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A-3576/2020 vom 1. März 2021</w:t>
      </w:r>
    </w:p>
    <w:p>
      <w:r>
        <w:t>Bundesverwaltungsgericht, 2021-03-01, DE</w:t>
      </w:r>
    </w:p>
    <w:p>
      <w:r>
        <w:rPr>
          <w:b/>
        </w:rPr>
        <w:t xml:space="preserve">Quelle: </w:t>
      </w:r>
      <w:r>
        <w:t>https://mcp.opencaselaw.ch/entscheid/bvger_A-3576_2020</w:t>
      </w:r>
    </w:p>
    <w:p>
      <w:r>
        <w:t>FR: TAF A-3576/2020 du 1 mars 2021</w:t>
      </w:r>
    </w:p>
    <w:p>
      <w:r>
        <w:t>IT: TAF A-3576/2020 del 1 marzo 2021</w:t>
      </w:r>
    </w:p>
    <w:p>
      <w:pPr>
        <w:pStyle w:val="Heading2"/>
      </w:pPr>
      <w:r>
        <w:t>Regeste</w:t>
      </w:r>
    </w:p>
    <w:p>
      <w:r>
        <w:t>Amtshilfe</w:t>
      </w:r>
    </w:p>
    <w:p>
      <w:pPr>
        <w:pStyle w:val="Heading2"/>
      </w:pPr>
      <w:r>
        <w:t>Erwägungen</w:t>
      </w:r>
    </w:p>
    <w:p>
      <w:r>
        <w:rPr>
          <w:b/>
        </w:rPr>
        <w:t>E. 1.1</w:t>
      </w:r>
    </w:p>
    <w:p>
      <w:r>
        <w:t>Das vorliegende Amtshilfeersuchen vom 30. Dezember 2019 stützt sich auf das MAC.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Die Beschwerdeführerin erfüllt als Adressatin der angefochtenen Schlussverfügung und Person, deren Daten übermittelt werden sollen, die Voraussetzungen der Beschwerdelegitimation (vgl. Art. 19 Abs. 2 StAhiG i.V.m. Art. 48 VwVG). Die Beschwerde wurde überdies form- und fristgerecht eingereicht (Art. 50 Abs. 1 und Art. 52 Abs. 1 VwVG). Auf die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w:t>
      </w:r>
    </w:p>
    <w:p>
      <w:r>
        <w:t>Da vorliegend nur die voraussichtliche Erheblichkeit gewisser Informationen in Frage gestellt, eine mögliche Verletzung eines Handels- oder Gewerbegeheimnisses vorgebracht sowie implizit eine mögliche Verletzung des Subsidiaritätsprinzips gerügt wird, ist insbesondere darauf einzugehen, zumal abgesehen von der Frage des Spezialitätsprinzips (dazu E. 3.2.6) weitere Probleme in Bezug auf die Leistung von Amtshilfe weder geltend gemacht werden, noch sich aus den Akten ergeben.</w:t>
      </w:r>
    </w:p>
    <w:p>
      <w:r>
        <w:rPr>
          <w:b/>
        </w:rPr>
        <w:t>E. 2.1</w:t>
      </w:r>
    </w:p>
    <w:p>
      <w:r>
        <w:t>Die internationale Amtshilfe in Steuersachen zwischen der Schweiz und Tunesien richtet sich nach dem MAC. Unter anderem ist in diesem Staatsvertrag die Leistung von Amtshilfe auf Ersuchen vorgesehen (Art. 5 MAC).</w:t>
      </w:r>
    </w:p>
    <w:p>
      <w:r>
        <w:rPr>
          <w:b/>
        </w:rPr>
        <w:t>E. 2.2.1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hinsichtlich Steuern, die unter eine der in Art. 2 Abs. 1 Bst. b Ziff. ii bis iv MAC aufgeführten Kategorien fallen (der Vorbehalt ist am Ende der SR 0.652.1 unter «Vorbehalte und Erklärungen» als Ziff. 1 publiziert). Unter anderem leistet die Schweiz demnach keine Amtshilfe für allgemeine Verbrauchssteuern wie Mehrwert- und Umsatzsteuern (Art. 2 Abs. 1 Bst. b Ziff. iii Bst. C MAC).</w:t>
      </w:r>
    </w:p>
    <w:p>
      <w:r>
        <w:rPr>
          <w:b/>
        </w:rPr>
        <w:t>E. 2.2.2</w:t>
      </w:r>
    </w:p>
    <w:p>
      <w:r>
        <w:t>Die Rechtsprechung betreffend die Leistung von Amtshilfe auf Ersuchen gestützt auf Doppelbesteuerungsabkommen, kann für das MAC zumindest insoweit übernommen werden, als die entsprechenden Bestimmungen unter rechtswesentlichen Aspekten inhaltlich vergleichbar sind.</w:t>
      </w:r>
    </w:p>
    <w:p>
      <w:r>
        <w:rPr>
          <w:b/>
        </w:rPr>
        <w:t>E. 2.2.3</w:t>
      </w:r>
    </w:p>
    <w:p>
      <w:r>
        <w:t>Als zur Anwendung oder Durchsetzung des innerstaatlichen Rechts voraussichtlich erheblich gelten demnach Informationen, die für den ersuchenden Staat notwendig sind, um eine in diesem Staat steuerpflichtige Person dort korrekt zu besteuern (vgl. BGE 141 II 436 E. 4.4.3). Die Voraussetzung der voraussichtlichen Erheblichkeit ist erfüllt, wenn im Zeitpunkt der Einreichung des Amtshilfeersuchens eine vernünftige Möglichkeit besteht, dass sich die verlangten Informationen als erheblich erweisen werden. Keine Rolle spielt, ob sich diese Informationen letzten Endes als nicht erheblich herausstellen. 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 «voraussichtlich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(zum Ganzen: Urteile des BVGer A-4588/2018 vom 22. Juli 2019 E. 3.4.3, A-2830/2018 vom 17. September 2018 E. 3.1).</w:t>
      </w:r>
    </w:p>
    <w:p>
      <w:r>
        <w:rPr>
          <w:b/>
        </w:rPr>
        <w:t>E. 2.2.4</w:t>
      </w:r>
    </w:p>
    <w:p>
      <w:r>
        <w:t>Zwar hält das MAC anders als die Amtshilfeartikel (bzw. die dazugehörigen Protokollbestimmungen) in vielen Doppelbesteuerungsabkommen sowie Art. 7 Bst. a StAhiG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erhellt aber, dass ein Ersuchen ohne jegliche Anhaltspunkte dafür, dass die Informationen für den ersuchenden Staat erheblich sein können, nicht möglich sein soll.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(Urteile des BVGer A-4588/2018 vom 22. Juli 2019 E. 3.4.2, A-4143/2018 vom 28. Mai 2019 E. 2.1.4; vgl. auch Urteil des BVGer A-3482/2018 vom 5. August 2019 E. 5.4).</w:t>
      </w:r>
    </w:p>
    <w:p>
      <w:r>
        <w:rPr>
          <w:b/>
        </w:rPr>
        <w:t>E. 2.2.5</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w:t>
      </w:r>
    </w:p>
    <w:p>
      <w:r>
        <w:rPr>
          <w:b/>
        </w:rPr>
        <w:t>E. 2.2.6</w:t>
      </w:r>
    </w:p>
    <w:p>
      <w:r>
        <w:t>Die formellen Anforderungen an ein Amtshilfeersuchen sind in Art. 18 Abs. 1 MAC enthalten. Ein Ersuchen um Informationen hat demnach, soweit erforderlich, Angaben über jene Behörde oder Stelle zu enthalten, von der das durch die zuständige Behörde gestellte Ersuchen ausgeht (Bst. a). Namen, Anschrift oder alle sonstigen Angaben, welche die Identifizierung der Personen, derentwegen das Ersuchen gestellt wird, müssen, soweit erforderlich, enthalten sein (Bst. b). Weiter hat die ersuchende Behörde anzugeben, in welcher Form sie die Informationen, um die sie ersucht, erhalten möchte (Bst. c) bzw.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w:t>
      </w:r>
    </w:p>
    <w:p>
      <w:r>
        <w:rPr>
          <w:b/>
        </w:rPr>
        <w:t>E. 2.2.7</w:t>
      </w:r>
    </w:p>
    <w:p>
      <w:r>
        <w:t>In Art. 21 Abs. 2 MAC wird aufgezählt, unter welchen Voraussetzungen der ersuchte Staat nicht zur Amtshilfe verpflichtet ist bzw. welche Handlungen er nicht vorzunehmen braucht. Hier ist insbesondere auf Art. 21 Abs. 2 Bst. d MAC hinzuweisen, wonach der ersuchte Staat nicht verpflichtet ist, Informationen zu erteilen, die ein Handels-, Industrie-, Gewerbe- oder Berufsgeheimnis oder ein Geschäftsverfahren preisgeben würden oder deren Preisgabe der öffentlichen Ordnung (ordre public) widersprechen würde.</w:t>
      </w:r>
    </w:p>
    <w:p>
      <w:r>
        <w:rPr>
          <w:b/>
        </w:rPr>
        <w:t>E. 3</w:t>
      </w:r>
    </w:p>
    <w:p>
      <w:r>
        <w:t>Nachfolgend werden in Bezug auf das vorliegende Verfahren die Rügen der Beschwerdeführerin dargestellt (E. 3.1) und anschliessend geprüft, ob der DGI Amtshilfe zu gewähren ist (E. 3.2).</w:t>
      </w:r>
    </w:p>
    <w:p>
      <w:r>
        <w:rPr>
          <w:b/>
        </w:rPr>
        <w:t>E. 3.1</w:t>
      </w:r>
    </w:p>
    <w:p>
      <w:r>
        <w:t>Wie erwähnt (E. 2), wehrt sich die Beschwerdeführerin nicht grundsätzlich gegen die Leistung von Amtshilfe, möchte aber einige Informationen davon ausgenommen haben. Sie erklärt, bei der tunesischen Gesellschaft Kleidungsmuster einzukaufen, deren Lieferung direkt an die deutsche Gesellschaft erfolge, wobei ihr (der Beschwerdeführerin) Rechnung gestellt werde. Sie ist der Auffassung, es gehe gemäss dem Amtshilfeersuchen der DGI einzig um die Beziehung zwischen der tunesischen Gesellschaft und ihr selbst. Es sei unerheblich, zu wem sie weitere Geschäftsbeziehungen unterhalte. Insbesondere sei so die Beschwerdeführerin sinngemäss nicht ersichtlich, inwiefern folgende Informationen voraussichtlich erheblich seien: - Alle Verkaufsrechnungen in ihrem Namen für das Jahr 2018; - Auszug aus dem Hauptbuch betreffend die deutsche Gesellschaft, welcher in ihrer (der Beschwerdeführerin) Buchhaltung für das Jahr 2018 enthalten sei; - alle Belege der Finanz- und Handelstransaktionen zwischen der deutschen Gesellschaft und ihr (der Beschwerdeführerin). «Basierend auf den Umsatzzahlen zwischen ihr und der tunesischen Steuerbehörde» werde es der tunesischen Steuerbehörde möglich sein zu verifizieren, dass die Transaktionen tatsächlich bestünden, was als Grund der Anfrage angegeben sei. Aufgrund ihres Wissens zu den von der tunesischen Gesellschaft ausgeübten Funktionen und übernommenen Risiken werde die DGI in der Lage sein zu beurteilen, ob die tunesische Gesellschaft von ihr (der Beschwerdeführerin) angemessen für die Lieferung der Kleidermuster entschädigt werde. Die DGI könne die Echtheit der Transaktionen und ihre (der Beschwerdeführerin) Existenz überprüfen, um allfällige Unregelmässigkeiten festzustellen. Weitere, nicht erhebliche Daten seien nicht zu übermitteln. In Bezug auf die Rechnungen für das Jahr 2018 habe schon die Vorinstanz diese auf Rechnungen von ihr (der Beschwerdeführerin) an die deutsche Gesellschaft betreffend die bei der tunesischen Gesellschaft gekauften Produkte beschränkt. Jedoch seien auch diese nicht voraussichtlich erheblich; sie seien weder notwendig noch geeignet für die Prüfung der Besteuerung der tunesischen Gesellschaft. Ob die tunesische Gesellschaft angemessen entschädigt worden sei, bestimme sich nach einem objektiven Massstab, nämlich unter anderem nach ihren Funktionen und Risiken, und hänge nicht von der Geschäftsbeziehung zwischen ihr (der Beschwerdeführerin) und einer dritten Gesellschaft ab, zumal es sich um konzerninterne Transaktionen handle. Aufgrund der Umsatzzahlen zwischen ihr (der Beschwerdeführerin) und der tunesischen Gesellschaft sei es der DGI möglich zu beurteilen, ob eine angemessene Vergütung zwischen diesen beiden Gesellschaften vereinbart worden sei. Auch die Auszüge der Buchhaltung der Beschwerdeführerin, welche die Vorinstanz bereits auf Transaktionen zwischen ihr (der Beschwerdeführerin) und der deutschen Gesellschaft betreffend die bei der tunesischen Gesellschaft gekauften Produkte beschränkt habe, seien ebenfalls nicht voraussichtlich erheblich. Gemäss Amtshilfeersuchen solle nur die Beziehung zwischen ihr (der Beschwerdeführerin) und der tunesischen Gesellschaft überprüft werden, wozu Buchhaltungsauszüge, die eine dritte Gesellschaft beträfen, nicht voraussichtlich erheblich seien. In Bezug auf Beweismittel, die alle Finanz- und Handelstransaktionen zwischen ihr (der Beschwerdeführerin) und der deutschen Gesellschaft betreffen, führt die Beschwerdeführerin aus, diese seien auf jeden Fall auf Unterlagen zu beschränken, die mit den Käufen bei der tunesischen Gesellschaft zusammenhängen würden (Eventualantrag). Allerdings seien sämtliche dieser Unterlagen nicht voraussichtlich erheblich, denn für die Beurteilung der Steuersituation einer tunesischen Gesellschaft seien die Geschäftsbeziehungen zwischen ihr (der Beschwerdeführerin) und der deutschen Gesellschaft nicht erheblich. Am Rande erwähnt die Beschwerdeführerin, es sei erstaunlich, dass die DGI nicht in der Lage gewesen sei, die Frage des Umsatzes zwischen ihr und der tunesischen Gesellschaft bei letzterer in Erfahrung zu bringen. Weiter führt sie aus, wenn Informationen zur Geschäftsbeziehung zwischen ihr und der deutschen Gesellschaft an die DGI übermittelt würden, würden Geschäftsgeheimnisse offengelegt, was Art. 21 Abs. 2 Bst. d MAC widerspreche. In Bezug auf Fragen, die die Geschäftsbeziehung zwischen ihr und der deutschen Gesellschaft beträfen, handle es sich um eine unzulässige Beweisausforschung.</w:t>
      </w:r>
    </w:p>
    <w:p>
      <w:r>
        <w:rPr>
          <w:b/>
        </w:rPr>
        <w:t>E. 3.2.1</w:t>
      </w:r>
    </w:p>
    <w:p>
      <w:r>
        <w:t>Zur voraussichtlichen Erheblichkeit jener Unterlagen, die die Vorinstanz der DGI übermitteln möchte, ist zunächst festzuhalten, dass in der Regel nur der ersuchende Staat feststellen kann, ob die Unterlagen erheblich sind, wobei die voraussichtliche Erheblichkeit nach bundesgerichtlicher Rechtsprechung ohnehin keine hohe Hürde für die Leistung von Amtshilfe darstellt (E. 2.2.3). Entgegen den Ausführungen der Beschwerdeführerin geht aus dem Amtshilfeersuchen der DGI vom 30. Dezember 2019 hervor, dass diese nicht nur das Verhältnis zwischen der Beschwerdeführerin und der tunesischen Gesellschaft prüfen möchte, sondern das Dreiecksverhältnis zwischen diesen beiden Gesellschaften und der deutschen Gesellschaft. Das ergibt sich klar daraus, dass die DGI auf eine Rechnung verweist, gemäss der die schweizerische Gesellschaft die Rechnung bezahlt, die Waren jedoch an die deutsche Gesellschaft geliefert werden, was im Amtshilfeersuchen (von einem offensichtlichen, von der Beschwerdeführerin mittlerweile nicht mehr kritisierten redaktionellen Fehler abgesehen) auch so steht. Auch der Umstand, dass die DGI prüfen möchte, ob auf diese Weise z.B. Gewinnverschiebungen vorgenommen wurden, zeigt klar, dass es um die Beziehung aller drei Gesellschaften geht (Sachverhalt Bst. A.b). Von vornherein ist daher nicht weiter auf das wiederholt von der Beschwerdeführerin vorgebrachte Argument einzugehen, es gehe nur um die Beziehung zwischen ihr und der tunesischen Gesellschaft. Damit erweist sich das Hauptargument der Beschwerdeführerin gegen die voraussichtliche Erheblichkeit der Informationen, die übermittelt werden sollen, als nicht stichhaltig. Wie die Vorinstanz zu Recht festhält, ist von der voraussichtlichen Erheblichkeit der Unterlagen auszugehen. Für die Frage, ob Gewinne zwischen den Gesellschaften, insbesondere in die Schweiz, verschoben wurden, sind die Preise, welche zwischen der schweizerischen und der deutschen Gesellschaft für die von der tunesischen Gesellschaft gelieferten Waren durchaus erheblich. Dass diese Information alleine möglicherweise noch nicht sehr aussagekräftig ist, sondern wie die Beschwerdeführerin festhält auch die übernommenen Funktionen und die Verteilung von Risiken eine Rolle spielen, führt nicht dazu, dass diese erfragten Informationen nicht erheblich wären. Festzuhalten gilt in diesem Zusammenhang, dass die Vorinstanz die zu übermittelnden Informationen bereits auf jene beschränkt hat, die das Verhältnis zwischen den drei Gesellschaften betreffen. Andere Informationen hat sie ausgesondert. Wie gerade festgestellt, ist in Bezug auf jene Informationen von der voraussichtlichen Erheblichkeit zur Beurteilung der steuerlichen Situation der tunesischen Gesellschaft auszugehen.</w:t>
      </w:r>
    </w:p>
    <w:p>
      <w:r>
        <w:rPr>
          <w:b/>
        </w:rPr>
        <w:t>E. 3.2.2</w:t>
      </w:r>
    </w:p>
    <w:p>
      <w:r>
        <w:t>Was den Eventualantrag der Beschwerdeführerin anbelangt, es seien in Bezug auf die Frage g) 4. Lemma nicht alle Unterlagen zu übermitteln, sondern lediglich jene, die sich auf die Verkäufe der tunesischen Gesellschaft beziehen, ist festzuhalten, dass die Vorinstanz dies bereits so handhabt. Sie verweist nämlich auf jene Unterlagen, die in Bezug auf das 2. und 3. Lemma der Frage g) übermittelt werden sollen. Dass sie dabei die Formulierung der DGI übernimmt, welche sich auf Unterlagen bezüglich aller Transaktionen bezieht («les pièces justifiant toutes les transactions financières et commerciales») ist jedoch verwirrend. Im Gegensatz zur Vorinstanz hält das Bundesverwaltungsgericht hier eine entsprechende redaktionelle Präzisierung für angebracht, wobei sich dadurch am Gehalt der übermittelten Informationen selbst nichts ändert. Die Vorinstanz ist diesbezüglich anzuweisen, der ersuchenden Behörde auch in Bezug auf die Frage Bst. g 4. Lemma (gemäss Sachverhalt Bst. A.c) mitzuteilen, dass nur Unterlagen im Zusammenhang mit den bei der tunesischen Gesellschaft erworbenen Waren übermittelt werden.</w:t>
      </w:r>
    </w:p>
    <w:p>
      <w:r>
        <w:rPr>
          <w:b/>
        </w:rPr>
        <w:t>E. 3.2.3</w:t>
      </w:r>
    </w:p>
    <w:p>
      <w:r>
        <w:t>Auf den Vorwurf einer Beweisausforschung ist unter diesen Umständen nicht weiter einzugehen: Zumindest jene Unterlagen, die die Vorinstanz übermitteln möchte, stehen mit dem im Amtshilfeersuchen geschilderten, genügend konkretisierten Sachverhalt im Zusammenhang (vgl. E. 2.2.4).</w:t>
      </w:r>
    </w:p>
    <w:p>
      <w:r>
        <w:rPr>
          <w:b/>
        </w:rPr>
        <w:t>E. 3.2.4</w:t>
      </w:r>
    </w:p>
    <w:p>
      <w:r>
        <w:t>Wie die Beschwerdeführerin weiter vorbringt, müssen Informationen, bei denen es sich um Geschäftsgeheimnisse handelt, nicht übermittelt werden (E. 2.2.7). Inwiefern dies auf die Informationen, deren Übermittlung an die DGI vorgesehen ist, zutrifft, führt die Beschwerdeführerin jedoch nicht aus. Es handelt sich in erster Linie um finanzielle Informationen über (weiterverrechnete) Preise. Solche dürfen in der Regel wie die Vorinstanz mit Verweis auf das Urteil des Bundesgerichts 2C_615/2018 vom 26. März 2019 E. 5.1 zu Recht festhält an ersuchende Behörden weitergegeben werden. Diese Informationen können der DGI, die im Übrigen selbst Geheimhaltungspflichten unterliegt (vgl. Art. 22 MAC), somit übermittelt werden.</w:t>
      </w:r>
    </w:p>
    <w:p>
      <w:r>
        <w:rPr>
          <w:b/>
        </w:rPr>
        <w:t>E. 3.2.5</w:t>
      </w:r>
    </w:p>
    <w:p>
      <w:r>
        <w:t>Eine Verletzung des Subsidiaritätsprinzips wird von der Beschwerdeführerin nicht explizit gerügt, sondern nur sinngemäss erwähnt. Daher kann hier in aller Kürze festgehalten werden, dass dieses nicht verletzt ist: Die DGI hält ausdrücklich fest, ihre innerstaatlichen Mittel ausgeschöpft zu haben, woran nach dem völkerrechtlichen Vertrauensprinzip und unter den gegebenen Umständen denn auch nicht zu zweifeln ist (E. 2.2.5); ohnehin erklärt die DGI selbst, dass sie auch bereits erhaltene Akten auf deren Übereinstimmung mit Unterlagen der Beschwerdeführerin überprüfen möchte. Die Beschwerdeführerin bringt nichts vor, was geeignet wäre, Zweifel an der Erklärung der DGI zu wecken.</w:t>
      </w:r>
    </w:p>
    <w:p>
      <w:r>
        <w:rPr>
          <w:b/>
        </w:rPr>
        <w:t>E. 3.2.6</w:t>
      </w:r>
    </w:p>
    <w:p>
      <w:r>
        <w:t>Das Spezialitätsprinzip wird zwar von keiner der Parteien erwähnt. Das Bundesgericht hat jedoch am 13. Juli 2020 also nach Erlass der vorliegenden Schlussverfügung erwogen, dass international wie national unterschiedliche Auffassungen darüber bestehen, wie weit der Spezialitätsvorbehalt reicht und insbesondere, ob ihm eine persönliche Dimension zukommt. Es sei daher angezeigt, dass die ESTV die ersuchende Behörde anlässlich der Übermittlung der ersuchten Informationen über den Umfang der Verwendungsbeschränkung informiere (Urteile des BGer 2C_537/2019 vom 13. Juli 2020 [zur Publikation vorgesehen] E. 3.7 2. Absatz, 2C_545/2019 vom 13. Juli 2020 E. 4.7). Diese in Bezug auf die Leistung von Amtshilfe gestützt auf Doppelbesteuerungsabkommen ergangene Rechtsprechung ist auf das MAC übertragbar. Im Gegensatz zu den Doppelbesteuerungsabkommen sieht das MAC zwar neben der Leistung von Amtshilfe auf Ersuchen auch die spontane Amtshilfe und den automatischen Informationsaustausch vor. Dieser Umstand vermag indessen nichts am Geltungsbereich des Spezialitätsprinzips zu ändern. Art. 22 MAC stimmt nämlich, soweit hier wesentlich, inhaltlich mit Art. 26 Abs. 2 des OECD-Musterabkommens, auf dem die meisten Amtshilfeklauseln in Doppelbesteuerungsabkommen basieren, überein (vgl. auch Botschaft vom 5. Juni 2015 zur Genehmigung des Übereinkommens des Europarats und der OECD über die gegenseitige Amtshilfe in Steuersachen und zu seiner Umsetzung [Änderung des Steueramtshilfegesetzes], in: BBl 2015 5585 5616). Zudem erfolgt die Amtshilfe im vorliegenden Verfahren gestützt auf ein Ersuchen und eben nicht im Rahmen der spontanen Amtshilfe oder des automatischen Informationsaustauschs. Bei der Leistung von Amtshilfe gestützt auf ein Ersuchen ist abgesehen von hier nicht vorliegenden spezielleren Regelungen in Bezug auf das Spezialitätsprinzip derselbe Massstab anzuwenden, unabhängig davon, auf welches Abkommen sie sich stützt. Die ESTV wird Ziff. 3 des Dispositivs der angefochtenen Verfügung entsprechend zu präzisieren haben.</w:t>
      </w:r>
    </w:p>
    <w:p>
      <w:r>
        <w:rPr>
          <w:b/>
        </w:rPr>
        <w:t>E. 3.2.7</w:t>
      </w:r>
    </w:p>
    <w:p>
      <w:r>
        <w:t>Damit ist die Beschwerde nur insoweit gutzuheissen, als die Vorinstanz anzuweisen ist, der ersuchenden Behörde auch in Bezug auf die Frage gemäss Bst. g 4. Lemma mitzuteilen, dass nur Unterlagen im Zusammenhang mit den bei der tunesischen Gesellschaft erworbenen Waren übermittelt werden, und den Spezialitätsvorbehalt anzupassen. Am Umfang der Amtshilfe ändert sich dadurch jedoch nichts, sondern es handelt sich lediglich um redaktionelle Präzisierungen.</w:t>
      </w:r>
    </w:p>
    <w:p>
      <w:r>
        <w:rPr>
          <w:b/>
        </w:rPr>
        <w:t>E. 4.1</w:t>
      </w:r>
    </w:p>
    <w:p>
      <w:r>
        <w:t>Ausgangsgemäss hat die unterliegende Beschwerdeführerin die Verfahrenskosten zu tragen (Art. 63 Abs. 1 VwVG). Das Obsiegen in Bezug auf rein redaktionelle Präzisierungen, wirkt sich nicht auf die Kostenverlegung aus. Die Kosten sind auf Fr. 3'000.-- festzusetzen (vgl. Art. 2 Abs. 1 i.V.m. Art. 4 des Reglements vom 21. Februar 2008 über die Kosten und Entschädigungen vor dem Bundesverwaltungsgericht [VGKE, SR 173.320.2]). Der von der Beschwerdeführerin einbezahlte Kostenvorschuss in gleicher Höhe ist zur Bezahlung der Verfahrenskosten zu verwenden.</w:t>
      </w:r>
    </w:p>
    <w:p>
      <w:r>
        <w:rPr>
          <w:b/>
        </w:rPr>
        <w:t>E. 4.2</w:t>
      </w:r>
    </w:p>
    <w:p>
      <w:r>
        <w:t>Eine Parteientschädigung ist entsprechend der Kostenverlegung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