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A-3562/2022 vom 3. Januar 2024</w:t>
      </w:r>
    </w:p>
    <w:p>
      <w:r>
        <w:t>Bundesverwaltungsgericht, 2024-01-03, IT</w:t>
      </w:r>
    </w:p>
    <w:p>
      <w:r>
        <w:rPr>
          <w:b/>
        </w:rPr>
        <w:t xml:space="preserve">Quelle: </w:t>
      </w:r>
      <w:r>
        <w:t>https://mcp.opencaselaw.ch/entscheid/bvger_A-3562_2022</w:t>
      </w:r>
    </w:p>
    <w:p>
      <w:r>
        <w:t>FR: TAF A-3562/2022 du 3 janvier 2024</w:t>
      </w:r>
    </w:p>
    <w:p>
      <w:r>
        <w:t>IT: TAF A-3562/2022 del 3 gennaio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18 luglio 2022 dell'autorità inferiore, con cui quest'ultima ha accolto la domanda raggruppata italiana di assistenza amministrativa del 23 novembre 2018, per quanto concerne il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Preliminarmente, per quanto attiene alla competenza dell'autorità richiedente italiana - qui recisamente contestata dal ricorrente (cfr. ricorso 17 agosto 2022, pagg. 6-8, 12-14) - il Tribunale rileva come lo stesso abbia già avuto modo di esaminare e di confermare a più riprese la competenza dell'Agenzia delle Entrate (alla pari della Guardia di Finanza), quale competente autorità richiedente italiana ai sensi dell'art. 3 cpv. 1 lett. g CDI CH-IT, trattandosi di un'unità sottostante al Ministero delle Finanze, abilitata da quest'ultimo ad occuparsi dello scambio d'informazioni in materia fiscale e a presentare domande di assistenza amministrativa in sua vece, così come risultante dal rapporto del Forum globale sulla trasparenza e sullo scambio di informazioni a fini fiscali dell'OCSE, denominato « Global Forum on Transparency and Exchange of Information for Tax Purposes: Italy 2017 (Second Round): Peer Review Report on the Exchange of Information on Request » (cfr. [tra le tante] sentenze del TAF A-6412/2020 del 19 settembre 2023 consid. 5.2; A-1730/2021 del 7 marzo 2022 consid. 5.2; A-2980/2019 del 20 maggio 2020 consid. 4.1.2). In ogni caso, nella misura in cui, con sentenza 2C_73/2021 del 27 dicembre 2021, il Tribunale federale ha confermato l'ammissibilità della domanda raggruppata italiana di assistenza amministrativa del 23 novembre 2018, si deve ritenere che lo stesso abbia riconosciuto - perlomeno implicitamente - la competenza dell'Agenzia delle Entrate e, di riflesso, della persona che ha sottoscritto per suo conto detta domanda, alla pari dello scrivente Tribunale. Il fatto poi che - così come censurato dal ricorrente (cfr. ricorso 17 agosto 2022, pagg. 6-8, 12-14) - il nome del suo sottoscrittore italiano (ovvero, il Capo del Settore Internazionale) e i nomi dei funzionari italiani siano stati anneriti non ne pregiudica la validità. Così come giustamente rilevato dall'autorità inferiore (cfr. risposta 22 settembre 2022, punto n. 5), trattasi semplicemente di oscuramenti applicati da quest'ultima ai nominativi e referenze delle autorità fiscali straniere, nel rispetto da parte dell'interesse pubblico che ha la Svizzera a mantenere delle buone relazioni internazionali e dall'altra il diritto di essere sentito della persona interessata. In virtù della presunzione della buona fede dello Stato richiedente (cfr. considd. 3.4.1-3.4.2 del presente giudizio), il Tribunale non ha alcun motivo di dubitare della competenza della persona che ha sottoscritto la domanda in oggetto. In tale frangente, gli argomenti del ricorrente non sono tali da rimettere in discussione quanto precede, sicché la sua censura va qui respinta.</w:t>
      </w:r>
    </w:p>
    <w:p>
      <w:r>
        <w:rPr>
          <w:b/>
        </w:rPr>
        <w:t>E. 4.2</w:t>
      </w:r>
    </w:p>
    <w:p>
      <w:r>
        <w:t>Sul piano formale poi,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censura del ricorrente relativa al difetto dei requisiti formali - che non occorre qui evocare in dettaglio (cfr. al riguardo, ricorso 17 agosto 2022, segnatamente pagg. 7, 15-16, 18-19, 22, ecc.) - non può che essere respinta.</w:t>
      </w:r>
    </w:p>
    <w:p>
      <w:r>
        <w:rPr>
          <w:b/>
        </w:rPr>
        <w:t>E. 4.3</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4.3.1 del presente giudizio) e non viola né il principio della buona fede (cfr. consid. 4.3.2 del presente giudizio), né quello della sussidiarietà (cfr. consid. 4.3.3 del presente giudizio).</w:t>
      </w:r>
    </w:p>
    <w:p>
      <w:r>
        <w:rPr>
          <w:b/>
        </w:rPr>
        <w:t>E. 4.3.1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4.3.1.1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4.3.1.2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4.3.1.3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4.3.2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4.3.3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4.4</w:t>
      </w:r>
    </w:p>
    <w:p>
      <w:r>
        <w:t>Ora, nel suo gravame, il ricorrente ritiene che la domanda di assistenza amministrativa italiana del 23 novembre 2018 costituirebbe una « fishing expedition » e difetterebbe di rilevanza verosimile, in quanto non adempirebbe ai requisiti della giurisprudenza, soprattutto per quanto attiene alla condizione della descrizione sufficiente del gruppo dei contribuenti. L'inquadramento dei soggetti del gruppo sarebbe infatti carente nella misura in cui difetterebbe la prova dell'invio e della ricezione da parte delle persone interessate di una lettera della banca B._______/C._______, dal corretto contenuto di cui all'art. 4 dell'Accordo amministrativo (ovvero, una lettera annunciante la chiusura forzata del conto, in caso di mancata regolarizzazione del conto in questione). Più nel dettaglio, egli - contestando la presunzione della ricezione della lettera derivante dal fermo posta e che dalla documentazione bancaria si possa desumere il contrario - indica di non aver ricevuto né la lettera 3 febbraio 2014 della banca B._______/C._______ allegata alla predetta domanda, né la lettera 20 febbraio 2015 della predetta banca. Agli atti non vi sarebbe prova alcuna che la banca abbia spedito dette lettere e che le stesse siano state ricevute dai suoi clienti domiciliati in Italia, men che meno dal qui ricorrente. Né il Ministero delle Finanze, né l'Agenzia delle Entrate, né l'autorità inferiore si sarebbero premurati di dimostrare/affrontare tale evenienza. In ogni caso, dette due lettere non annuncerebbero la chiusura forzata del conto bancario qualora il cliente non dimostri la conformità fiscale del conto, così come richiesto dall'art. 4 dell'Accordo amministrativo. Dette lettere non prospetterebbero neppure delle sostanziali limitazioni all'operatività del conto. Prova ne sarebbe il fatto che il ricorrente, che come detto non avrebbe ricevuto alcun scritto della banca, avrebbe continuato a beneficiare bellamente dei servizi della banca, bonificando quanto e dove desiderava, chiudendo infine la sua relazione bancaria (cfr. ricorso 17 agosto 2022, pagg. 9-24).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4.2 e 4.3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4.3.1.2-4.3.1.3 del presente giudizio). In tale frangente, le censure ricorsuali relative alla loro validità non sono rilevanti. Quanto alla censura relativa al fatto che il ricorrente non avrebbe ricevuto la lettera 20 febbraio 2015, si rinviano le parti al consid. 5 del presente giudizio.</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titolare di un conto bancario presso la banca B._______/C._______. È poi verosimile ch'esso abbia ricevuto la lettera 20 febbraio 2015 della predetta banca (cfr. atto n. 18.2 dell'inc. AFC, pag. 5). Dalla documentazione bancaria risulta infatti che lo stesso si è recato in banca il 15 luglio 2015, il 28 settembre 2015 e il 26 novembre 2015 e che in tali occasioni lo stesso sia stato informato dal consulente bancario in merito alle limitazioni, all'evolversi del segreto bancario, nonché sollecitato ad aderire alla « voluntary disclosure » e a regolarizzare la sua situazione fiscale. In particolare, in data 26 novembre 2015, il ricorrente ha poi indicato di voler estinguere il conto bancario (cfr. atto n. 18.2 dell'inc. AFC, pag. 6).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Ora come visto (cfr. consid. 4.4 del presente giudizio), nel suo gravame, il ricorrente contesta invece di aver ricevuto la lettera 20 febbraio 2015 della banca, che dal fermo posta e dalla documentazione bancaria si possa desumere il contrario, precisando di aver potuto continuare ad usufruire liberamente del suo conto bancario senza alcuna limitazione. Sennonché, tenuto conto delle evidenze risultanti dalla documentazione bancaria agli atti appena esposte dallo scrivente Tribunale, tale argomentazione non può essere qui seguita. Come detto, vi è infatti motivo di ritenere ch'esso abbia invero ricevuto detto scritto e/o che lo stesso sia perlomeno stato informato in merito alle conseguenze derivanti dalla mancata prova della conformità del conto alla normativa fiscale italiana. Come già rilevato a più riprese, il Tribunale federale ha già avuto modo di considerare la predetta lettera 20 febbraio 2015 come idonea a fondare il modello di comportamento alla base della domanda raggruppata (cfr. consid. 4.3.1.3 del presente giudizio). Ciò puntualizzato, non va dimenticato che la condizione per la concessione dell'assistenza amministrativa dipende dalla questione a sapere se il ricorrente abbia o meno oggettivamente fornito alla banca la prova di detta regolarizzazione nel termine impartito. Ora, il ricorrente non ha fornito alla banca alcuna prova quanto alla conformità fiscale del conto bancario alla normativa italiana e nemmeno indicato di averlo concretamente fatto in questa sede. Il fatto o meno ch'egli abbia disposto del suo conto bancario, fino a decidere di chiuderlo, nulla muta al riguardo. Si deve dunque concludere che il ricorrente rientra nel modello di comportamento in oggetto e che nel suo caso la trasmissione delle informazioni era ammissibile.</w:t>
      </w:r>
    </w:p>
    <w:p>
      <w:r>
        <w:rPr>
          <w:b/>
        </w:rPr>
        <w:t>E. 6.1</w:t>
      </w:r>
    </w:p>
    <w:p>
      <w:r>
        <w:t>Nel suo gravame, il ricorrente lamenta infine il fatto che l'autorità inferiore, dopo avergli concesso varie proroghe di soli 10 giorni per prendere posizione in merito agli atti acquisiti (le informazioni da trasmettere all'Italia) prima dell'emanazione della decisione finale, non gli abbia concesso un'ultima proroga o la sospensione della procedura sino al 20 aprile 2020, tenuto conto dell'aggravamento della situazione in ragione della pandemia di COVID-19 e dell'impossibilità per la sua patrocinatrice di conferire con lui, in ragione delle restrizioni agli spostamenti. Al riguardo, esso sottolinea che le richieste di proroghe sarebbero tutte state giustificate, la prima per il ritardo nella concessione della password da parte dell'autorità inferiore per accedere ai contenuti della chiavetta USB criptata, le successive alla luce delle severe restrizioni agli spostamenti imposte a seguito dell'esplosione della pandemia di COVID-19 nel territorio lombardo e limitrofo al Ticino. Benché la presente procedura avrebbe poi dovuto rispondere ad una logica di celerità ex art. 4 cpv. 2 LAAF, tale principio sarebbe stato accantonato, nella misura in cui la decisione impugnata datata 18 luglio 2022 sarebbe giunta ben 2 anni dopo la reiezione dell'ultima richiesta di proroga del termine (cfr. ricorso 17 agosto 2022, pagg. 3-5 e 24).</w:t>
      </w:r>
    </w:p>
    <w:p>
      <w:r>
        <w:rPr>
          <w:b/>
        </w:rPr>
        <w:t>E. 6.2.1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[tra le tante] sentenza del TAF A-2242/2022 del 28 settembre 2022 consid. 6.1.1).</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DTF 135 I 279 consid. 2.3;132 V 368 consid. 3.1 con rinvii). Va poi rammentato che quando il Tribunale federale controlla l'applicazione dell'art. 29 cpv. 2 Cost., esso ne determina il contenuto e la portata in funzione della situazione concreta e tenuto conto degli interessi in gioco (cfr. DTF 123 I 63 consid. 2d). Vanno in particolare considerati, da un lato, il pregiudizio alla situazione dell'interessato così come risulta dalla decisione che deve essere adottata e, dall'altro, l'importanza e l'urgenza dell'intervento amministrativo (cfr.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sentenza del TF 2P.46/2006 del 7 giugno 2006 consid. 4.3 con rinvii).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(cfr. DTF 123 I 63 consid. 2d; 111 Ia 273 consid. 2b), a condizione però che la violazione non sia di particolare gravità (cfr. DTF 126 I 68 consid. 2; sentenza del TAF A-2242/2022 del 28 settembre 2022 consid. 6.1.2).</w:t>
      </w:r>
    </w:p>
    <w:p>
      <w:r>
        <w:rPr>
          <w:b/>
        </w:rPr>
        <w:t>E. 6.2.3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(cfr. DTF 127 V 431 consid. 3d/aa).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(cfr. DTF 132 V 387 consid. 5.1 con rinvii; sentenza del TAF A-2242/2022 del 28 settembre 2022 consid. 6.1.3).</w:t>
      </w:r>
    </w:p>
    <w:p>
      <w:r>
        <w:rPr>
          <w:b/>
        </w:rPr>
        <w:t>E. 6.3.1</w:t>
      </w:r>
    </w:p>
    <w:p>
      <w:r>
        <w:t>Al riguardo il Tribunale rileva che già in sede di istruttoria dinanzi all'autorità inferiore il ricorrente fosse patrocinato da una legale. Quest'ultima si era annunciata all'AFC come sua rappresentante con scritto 21 gennaio 2020 (cfr. atto n. 22 dell'inc. AFC) - dunque ben prima della limitazione dell'accesso in Svizzera previsto dall'Ordinanza 2 Covid-19 a partire dal 13 marzo 2020 (RS 818.101.24) e della chiusura delle frontiere con la Svizzera decretata dall'Italia a partire dal 26 marzo 2020 e perdurata fino al 15 giugno 2020 - dichiarando di non acconsentire alla trasmissione delle informazioni. Con scritto 27 febbraio 2020 (notificato al ricorrente il sabato 29 febbraio 2020; atti n. 23 e 24 dell'inc. AFC), l'autorità inferiore ha accordato l'accesso agli atti (trasmettendo la chiavetta USB) e dato la possibilità di prendere posizione entro 10 giorni in merito alla prevista trasmissione delle informazioni. Il 4 marzo 2020 (cfr. atto n. 26 dell'inc. AFC), pertanto prima della chiusura delle frontiere e pure della dichiarazione dello stato di necessità da parte del Consiglio di Stato del Canton Ticino dell'11 marzo 2020, l'AFC ha trasmesso per e-mail alla rappresentante del ricorrente la password per poter accedere agli atti dell'incarto. Con e-mail del 9 marzo 2020, l'autorità inferiore ha parzialmente accolto la domanda di proroga del 5 marzo 2020, concedendogli un termine supplementare di 10 giorni per prendere posizione a seguito dell'accesso agli atti (cfr. atti n. 27 e 28 dell'inc. AFC). Con e-mail dell'11 marzo 2020, l'autorità inferiore ha parzialmente accolto la domanda di proroga del 9 marzo 2020 del ricorrente (con la quale chiedeva una proroga o la sospensione della procedura fino al 3 aprile 2020, in ragione dell'emergenza COVID-19), concedendogli un ulteriore termine di 10 giorni con la precisazione che un ulteriore proroga non sarebbe stata concessa (cfr. atti n. 29 e 30 dell'inc. AFC). Con e-mail del 19 marzo 2020, l'autorità inferiore ha poi rifiutato l'ulteriore domanda di proroga del 16 marzo 2020 del ricorrente (con la quale chiedeva una proroga o la sospensione della procedura fino al 20 aprile 2020, in ragione dell'aggravarsi dell'emergenza COVID-19; cfr. atti n. 31 e 32 dell'inc. AFC), confermando il termine precedentemente impartito. Nel termine assegnato il ricorrente non ha tuttavia preso posizione. Lo stesso ha preso posizione compiutamente unicamente dinanzi a questo Tribunale con ricorso 17 agosto 2022, a seguito dell'emanazione della decisione impugnata.</w:t>
      </w:r>
    </w:p>
    <w:p>
      <w:r>
        <w:rPr>
          <w:b/>
        </w:rPr>
        <w:t>E. 6.3.2</w:t>
      </w:r>
    </w:p>
    <w:p>
      <w:r>
        <w:t>Da quanto precede risulta dunque che il ricorrente è stato correttamente reso edotto sulle informazioni che l'autorità inferiore intende sottoporre all'autorità richiedente, sia in maniera generale con la pubblicazione nel Foglio federale del 10 dicembre 2019, sia puntualmente e personalmente con la comunicazione del 27 febbraio 2020 e infine con la decisione a lui destinata. A seguito della comunicazione del 27 febbraio 2020, unitamente alla quale gli è stata trasmessa la chiavetta USB e fissato un termine di dieci giorni per prendere posizione, il ricorrente è stato posto in condizione di esprimersi in maniera completa e con cognizione di causa sulla fattispecie. Nello scritto in parola, ricevuto sabato 29 febbraio 2020, l'AFC ha invitato il ricorrente (come è sua prassi fare in tutti i numerosi casi analoghi al presente) a confermare « la ricezione della chiave USB all'indirizzo e-mail (...) indicando il nostro riferimento (...). In seguito, le invieremo via email la password necessaria per accedere ai documenti ». A tale invito la rappresentante del ricorrente ha dato seguito con e-mail del 3 marzo 2020, chiedendo la password. A tale richiesta l'AFC ha dato seguito il giorno successivo. A partire dal 4 marzo 2020, dunque prima dell'introduzione delle severe misure volte a contrastare la pandemia da Covid-19, il ricorrente era in misura di prendere posizione in modo completo ed esaustivo, avendo a disposizione l'intero incarto dell'autorità inferiore.</w:t>
      </w:r>
    </w:p>
    <w:p>
      <w:r>
        <w:rPr>
          <w:b/>
        </w:rPr>
        <w:t>E. 6.3.3</w:t>
      </w:r>
    </w:p>
    <w:p>
      <w:r>
        <w:t>Questo Tribunale rileva infine che le contestazioni legate all'impossibilità di conferire con il proprio legale non possono essere seguite in questa sede. In più occasioni infatti e non da ultimo nell'ambito della presente procedura ricorsuale, il ricorrente disponeva della facoltà di conferire liberamente e personalmente con il proprio legale, indipendentemente dalla chiusura delle frontiere durante il periodo di pandemia da COVID-19 (momento in cui restavano comunque possibili le videoconferenze o le comunicazioni telefoniche). Ad ogni modo, sin dall'avvio della procedura dinanzi all'autorità inferiore, nel tardo 2019, al ricorrente era noto quali documenti avrebbe dovuto produrre a comprova del rispetto dei propri obblighi fiscali nei confronti dell'autorità fiscale italiana, onde evitare la trasmissione a quest'ultima di informazioni relative al suo conto bancario. Ora, il fatto che la decisione impugnata sia stata pronunciata oltre due anni dopo la reiezione dell'ultima domanda di proroga del termine, quand'anche criticabile dal punto di vista del principio di celerità, non è di certo un elemento tale da rimettere in discussione la validità di tale decisione. Tanto più che il ricorrente non ha mai prodotto una sua presa di posizione dinanzi all'autorità inferiore, prima della pronuncia della decisione impugnata. Come visto, è in questa sede che il ricorrente ha preso compitamente posizione, con il ricorso 17 agosto 2022. Un'eventuale violazione del suo diritto di essere sentito, comunque non ravvisabile nel caso concreto e nemmeno sollevata da quest'ultimo, andrebbe quindi considerata sanata nell'ambito della presente procedura (cfr. consid. 6.2.3 del presente giudizio).</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art.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