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A-3562/2020 vom 12. Januar 2022</w:t>
      </w:r>
    </w:p>
    <w:p>
      <w:r>
        <w:t>Bundesverwaltungsgericht, 2022-01-12, DE</w:t>
      </w:r>
    </w:p>
    <w:p>
      <w:r>
        <w:rPr>
          <w:b/>
        </w:rPr>
        <w:t xml:space="preserve">Quelle: </w:t>
      </w:r>
      <w:r>
        <w:t>https://mcp.opencaselaw.ch/entscheid/bvger_A-3562_2020</w:t>
      </w:r>
    </w:p>
    <w:p>
      <w:r>
        <w:t>FR: TAF A-3562/2020 du 12 janvier 2022</w:t>
      </w:r>
    </w:p>
    <w:p>
      <w:r>
        <w:t>IT: TAF A-3562/2020 del 12 gennaio 2022</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(vgl. Art. 23 i.V.m. Art. 16 Abs. 2 Bst. a des Elektrizitätsgesetzes vom 24. Juni 1902 [EleG, SR 734.0] und Art. 31 ff. des Verwaltungsgerichtsgesetzes vom 17. Juni 2005 [VGG, SR 173.32]). Das Verfahren vor dem Bundesverwaltungsgericht richtet sich nach dem Verwaltungsverfahrensgesetz vom 20. Dezember 1968 (VwVG, SR 172.021), soweit das VGG nichts anderes bestimmt (Art. 37 VGG).</w:t>
      </w:r>
    </w:p>
    <w:p>
      <w:r>
        <w:rPr>
          <w:b/>
        </w:rPr>
        <w:t>E. 1.2</w:t>
      </w:r>
    </w:p>
    <w:p>
      <w:r>
        <w:t>Der Beschwerdeführer hat sich am vorinstanzlichen Verfahren beteiligt und ist als Adressat der angefochtenen Verfügung, mit der ihn die Vorinstanz gebührenpflichtig anwies, der Netzbetreiberin den Sicherheitsnachweis einzureichen,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w:t>
      </w:r>
    </w:p>
    <w:p>
      <w:r>
        <w:t>Gemäss Art. 20 Abs. 1 EleG ist der Betriebsinhaber (Eigentümer, Pächter usw.) für die Beaufsichtigung der elektrischen Anlagen und die Überwachung ihres guten Zustandes verantwortlich. Der Eigentümer oder der von ihm bezeichnete Vertreter muss auf Verlangen den entsprechenden Sicherheitsnachweis erbringen (Art. 5 Abs. 1 der Verordnung vom 7. November 2001 über elektrische Niederspannungsinstallationen [NIV, SR 734.27]).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1 und 3 NIV). Die Vorinstanz ist gemäss Art. 41 NIV berechtigt, für die Kontrolltätigkeit und für Verfügungen nach dieser Verordnung Gebühren zu erheben (vgl. Urteil des Bundesverwaltungsgerichts A-7391/2018 vom 4. Juli 2019 E. 3.1).</w:t>
      </w:r>
    </w:p>
    <w:p>
      <w:r>
        <w:rPr>
          <w:b/>
        </w:rPr>
        <w:t>E. 4</w:t>
      </w:r>
    </w:p>
    <w:p>
      <w:r>
        <w:t>Der Beschwerdeführer stellt die Verpflichtung, als Eigentümer einer Liegenschaft einen Sicherheitsnachweis erbringen zu müssen, nicht in Frage. Er bringt indes u.a. vor, dass die Netzbetreiberin seine Adressänderungen während Monaten nicht berücksichtigt habe.</w:t>
      </w:r>
    </w:p>
    <w:p>
      <w:r>
        <w:rPr>
          <w:b/>
        </w:rPr>
        <w:t>E. 4.1</w:t>
      </w:r>
    </w:p>
    <w:p>
      <w:r>
        <w:t>Im Verwaltungsprozess gilt der Untersuchungsgrundsatz; die Behörde ermittelt den Sachverhalt von Amtes wegen (Art. 12 VwVG), wobei den Parteien unter Umständen Mitwirkungspflichten obliegen (Art. 13 VwVG; Jérôme Candrian, Introduction à la procédure administrative fédérale, 2013, N. 63 S. 44). Eine eigentliche Beweisführungslast trifft die Parteien dagegen - anders als im Zivilprozess - nicht (Moser/Beusch/Kneubühler, Prozessieren vor dem Bundesverwaltungsgericht, 2. Aufl. 2013, Rz. 3.119 und 3.149). Das Bundesverwaltungsgericht würdigt sodann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(Moser/Beusch/Kneubühler, a.a.O., Rz. 3.141). Bleibt ein behaupteter Sachumstand unbewiesen, stellt sich die Frage, wer die Folgen der Beweislosigkeit zu tragen hat. Diesbezüglich gilt auch im Bereich des öffentlichen Rechts in Anlehnung an Art. 8 des Schweizerischen Zivilgesetzbuchs vom 10. Dezember 1907 (ZGB, SR 210) der allgemeine Rechtsgrundsatz, dass diejenige Partei das Vorhandensein einer Tatsache zu beweisen hat, welche aus ihr Rechte ableitet. Demzufolge trägt bei begünstigenden Verfügungen grundsätzlich der Ansprecher die Beweislast, während bei belastenden Verfügungen die Verwaltung beweisbelastet ist (Urteil des Bundesverwaltungsgerichts A-1446/2019 vom 12. Dezember 2019 E. 3.3.1; Moser/Beusch/Kneubühler, a.a.O., Rz. 3.150; Candrian, a.a.O., N. 65 S. 45).</w:t>
      </w:r>
    </w:p>
    <w:p>
      <w:r>
        <w:rPr>
          <w:b/>
        </w:rPr>
        <w:t>E. 4.2</w:t>
      </w:r>
    </w:p>
    <w:p>
      <w:r>
        <w:t>Vorliegend gibt der Beschwerdeführer an, die Aufforderung zur Erbringung des Sicherheitsnachweises von der Netzbetreiberin erhalten zu haben und nachher direkt von der Vorinstanz kontaktiert worden zu sein. Hinsichtlich der zwei Mahnungen geht aus den Akten nicht hervor, ob und falls ja, wann dem Beschwerdeführer diese zugestellt wurden. Namentlich im Überweisungsschreiben der Netzbetreiberin vom 21. Januar 2020 an die Vorinstanz werden weder Daten genannt, an denen die Mahnungen erfolgten, noch sind Zustellnachweise beigelegt. Diese müssten sich - falls vorhanden - in den Akten befinden, da die Vorinstanz mit Verfügung vom 17. August 2020 aufgefordert worden war, die gesamten Akten dem Gericht einzureichen. Es liegt somit kein Nachweis vor, der eine korrekte Zustellung der zwei Mahnungen an den Beschwerdeführer belegen könnte.</w:t>
      </w:r>
    </w:p>
    <w:p>
      <w:r>
        <w:rPr>
          <w:b/>
        </w:rPr>
        <w:t>E. 4.3</w:t>
      </w:r>
    </w:p>
    <w:p>
      <w:r>
        <w:t>Die Zustellung der beiden Mahnungen ist somit unbewiesen. Die Folgen dieser Beweislosigkeit hat die Vorinstanz zu tragen, da sie aus dem unbewiesen gebliebenen Sachverhalt Rechte ableitet.</w:t>
      </w:r>
    </w:p>
    <w:p>
      <w:r>
        <w:rPr>
          <w:b/>
        </w:rPr>
        <w:t>E. 5</w:t>
      </w:r>
    </w:p>
    <w:p>
      <w:r>
        <w:t>Art. 36 Abs. 3 NIV hält unmissverständlich fest, dass erst nach zweimaliger vergeblicher Mahnung, der offensichtlich eine erste Aufforderung zur Einreichung des Sicherheitsnachweises voranzugehen hat, die Netzbetreiberin der Vorinstanz die Angelegenheit zur Durchsetzung der periodischen Kontrolle übergibt. Voraussetzung der Befassung der Vorinstanz sind mithin drei Schreiben der Netzbetreiberin, nämlich die erste Aufforderung und zwei Mahnungen (Urteile des Bundesverwaltungsgerichts A-507/2014 vom 22. Juli 2014 E. 5, A-5256/2010 vom 24. Februar 2011 E. 5 und A-2470/2010 vom 20. Juli 2010 E. 5.2). Nach dem Gesagten ist das formelle Erfordernis einer zweimaligen (vergeblichen) Mahnung gemäss Art. 36 Abs. 3 NIV zur Zeit der Übergabe des Dossiers an die Vorinstanz nicht nachgewiesen. Dementsprechend kann dem Beschwerdeführer nicht zur Last gelegt werden, er habe den Sicherheitsnachweis (allenfalls) zu spät eingereicht. Die gebührenpflichtige Verfügung vom 12. Juni 2020 wurde folglich zu Unrecht erlassen, weshalb sie in Gutheissung der Beschwerde aufzuheben ist. Da dem Begehren des Beschwerdeführers vollumfänglich entsprochen wird, erübrigt es sich, darauf einzugehen, ob der Sicherheitsnachweis rechtzeitig eingereicht wurde.</w:t>
      </w:r>
    </w:p>
    <w:p>
      <w:r>
        <w:rPr>
          <w:b/>
        </w:rPr>
        <w:t>E. 6.1</w:t>
      </w:r>
    </w:p>
    <w:p>
      <w:r>
        <w:t>Bei diesem Ausgang des Verfahrens sind dem Beschwerdeführer keine Kosten aufzuerlegen (Art. 63 Abs. 1 VwVG). Der unterliegenden Vorinstanz können ebenfalls keine Verfahrenskosten auferlegt werden (Art. 63 Abs. 2 VwVG).</w:t>
      </w:r>
    </w:p>
    <w:p>
      <w:r>
        <w:rPr>
          <w:b/>
        </w:rPr>
        <w:t>E. 6.2</w:t>
      </w:r>
    </w:p>
    <w:p>
      <w:r>
        <w:t>Dem Beschwerdeführer ist keine Parteientschädigung zuzusprechen, da er nicht anwaltlich vertreten ist und ihm auch sonst keine unverhältnismässig hohen Kosten entstanden sind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